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6F" w:rsidRPr="00A55773" w:rsidRDefault="00835C7F" w:rsidP="00A55773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b/>
          <w:lang w:val="lv-LV"/>
        </w:rPr>
      </w:pPr>
      <w:r w:rsidRPr="00A55773">
        <w:rPr>
          <w:rFonts w:asciiTheme="minorHAnsi" w:hAnsiTheme="minorHAnsi"/>
          <w:b/>
          <w:lang w:val="lv-LV"/>
        </w:rPr>
        <w:t xml:space="preserve"> </w:t>
      </w:r>
      <w:r w:rsidR="00CA70A6" w:rsidRPr="00A55773">
        <w:rPr>
          <w:rFonts w:asciiTheme="minorHAnsi" w:hAnsiTheme="minorHAnsi"/>
          <w:b/>
          <w:lang w:val="lv-LV"/>
        </w:rPr>
        <w:t xml:space="preserve">   </w:t>
      </w:r>
      <w:r w:rsidRPr="00A55773">
        <w:rPr>
          <w:rFonts w:asciiTheme="minorHAnsi" w:hAnsiTheme="minorHAnsi"/>
          <w:b/>
          <w:lang w:val="lv-LV"/>
        </w:rPr>
        <w:t xml:space="preserve">    </w:t>
      </w:r>
      <w:r w:rsidR="00CA70A6" w:rsidRPr="00A55773">
        <w:rPr>
          <w:rFonts w:asciiTheme="minorHAnsi" w:hAnsiTheme="minorHAnsi"/>
          <w:b/>
          <w:lang w:val="lv-LV"/>
        </w:rPr>
        <w:t xml:space="preserve">  </w:t>
      </w:r>
      <w:r w:rsidRPr="00A55773">
        <w:rPr>
          <w:rFonts w:asciiTheme="minorHAnsi" w:hAnsiTheme="minorHAnsi"/>
          <w:b/>
          <w:lang w:val="lv-LV"/>
        </w:rPr>
        <w:t xml:space="preserve">  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6"/>
        <w:gridCol w:w="3591"/>
        <w:gridCol w:w="1985"/>
        <w:gridCol w:w="2551"/>
      </w:tblGrid>
      <w:tr w:rsidR="002C416F" w:rsidRPr="00A55773" w:rsidTr="00C825F5">
        <w:tc>
          <w:tcPr>
            <w:tcW w:w="1951" w:type="dxa"/>
          </w:tcPr>
          <w:p w:rsidR="002C416F" w:rsidRPr="00A55773" w:rsidRDefault="002C416F" w:rsidP="00A55773">
            <w:pPr>
              <w:spacing w:after="120" w:line="240" w:lineRule="auto"/>
            </w:pPr>
            <w:r w:rsidRPr="00A55773">
              <w:rPr>
                <w:rFonts w:ascii="Calibri" w:eastAsia="Times New Roman" w:hAnsi="Calibri" w:cs="Times New Roman"/>
                <w:lang w:val="lv-LV" w:eastAsia="lv-LV"/>
              </w:rPr>
              <w:object w:dxaOrig="249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25pt;height:63.45pt" o:ole="">
                  <v:imagedata r:id="rId6" o:title=""/>
                </v:shape>
                <o:OLEObject Type="Embed" ProgID="PBrush" ShapeID="_x0000_i1025" DrawAspect="Content" ObjectID="_1448092439" r:id="rId7"/>
              </w:object>
            </w:r>
          </w:p>
        </w:tc>
        <w:tc>
          <w:tcPr>
            <w:tcW w:w="236" w:type="dxa"/>
          </w:tcPr>
          <w:p w:rsidR="002C416F" w:rsidRPr="00A55773" w:rsidRDefault="002C416F" w:rsidP="00A55773">
            <w:pPr>
              <w:spacing w:after="120" w:line="240" w:lineRule="auto"/>
            </w:pPr>
          </w:p>
        </w:tc>
        <w:tc>
          <w:tcPr>
            <w:tcW w:w="3591" w:type="dxa"/>
          </w:tcPr>
          <w:p w:rsidR="002C416F" w:rsidRPr="00A55773" w:rsidRDefault="002C416F" w:rsidP="00A55773">
            <w:pPr>
              <w:spacing w:after="120" w:line="240" w:lineRule="auto"/>
            </w:pPr>
            <w:r w:rsidRPr="00A55773">
              <w:rPr>
                <w:noProof/>
                <w:lang w:eastAsia="nl-BE"/>
              </w:rPr>
              <w:drawing>
                <wp:inline distT="0" distB="0" distL="0" distR="0" wp14:anchorId="69AA6BF7" wp14:editId="49FCBF27">
                  <wp:extent cx="2447925" cy="464570"/>
                  <wp:effectExtent l="0" t="0" r="0" b="0"/>
                  <wp:docPr id="1" name="Picture 1" descr="http://www.euroreg.uw.edu.pl/www/euroreg/default/images/logo-euroreg-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uroreg.uw.edu.pl/www/euroreg/default/images/logo-euroreg-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46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6F" w:rsidRPr="00A55773" w:rsidRDefault="002C416F" w:rsidP="00A55773">
            <w:pPr>
              <w:spacing w:after="120" w:line="240" w:lineRule="auto"/>
              <w:ind w:firstLine="708"/>
              <w:jc w:val="right"/>
            </w:pPr>
          </w:p>
        </w:tc>
        <w:tc>
          <w:tcPr>
            <w:tcW w:w="1985" w:type="dxa"/>
          </w:tcPr>
          <w:p w:rsidR="002C416F" w:rsidRPr="00A55773" w:rsidRDefault="002C416F" w:rsidP="00A55773">
            <w:pPr>
              <w:spacing w:after="120" w:line="240" w:lineRule="auto"/>
              <w:ind w:firstLine="34"/>
              <w:rPr>
                <w:sz w:val="12"/>
                <w:szCs w:val="12"/>
              </w:rPr>
            </w:pPr>
            <w:r w:rsidRPr="00A55773">
              <w:rPr>
                <w:b/>
                <w:smallCaps/>
                <w:noProof/>
                <w:color w:val="17365D" w:themeColor="text2" w:themeShade="BF"/>
                <w:sz w:val="12"/>
                <w:szCs w:val="18"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003E2A37" wp14:editId="6BE63ACC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106680</wp:posOffset>
                  </wp:positionV>
                  <wp:extent cx="1263015" cy="654685"/>
                  <wp:effectExtent l="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5388" t="10379" r="14816" b="9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15" cy="65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5773">
              <w:rPr>
                <w:sz w:val="12"/>
                <w:szCs w:val="12"/>
              </w:rPr>
              <w:t xml:space="preserve">JEAN MONNET </w:t>
            </w:r>
          </w:p>
          <w:p w:rsidR="002C416F" w:rsidRPr="00A55773" w:rsidRDefault="002C416F" w:rsidP="00A55773">
            <w:pPr>
              <w:spacing w:after="120" w:line="240" w:lineRule="auto"/>
            </w:pPr>
            <w:r w:rsidRPr="00A55773">
              <w:rPr>
                <w:sz w:val="12"/>
                <w:szCs w:val="12"/>
              </w:rPr>
              <w:t>REGIONAL FORUM</w:t>
            </w:r>
            <w:r w:rsidRPr="00A55773">
              <w:rPr>
                <w:b/>
                <w:smallCaps/>
                <w:noProof/>
                <w:color w:val="17365D" w:themeColor="text2" w:themeShade="BF"/>
                <w:sz w:val="12"/>
                <w:szCs w:val="18"/>
                <w:lang w:eastAsia="nl-BE"/>
              </w:rPr>
              <w:t xml:space="preserve"> </w:t>
            </w:r>
          </w:p>
        </w:tc>
        <w:tc>
          <w:tcPr>
            <w:tcW w:w="2551" w:type="dxa"/>
          </w:tcPr>
          <w:p w:rsidR="002C416F" w:rsidRPr="00A55773" w:rsidRDefault="002C416F" w:rsidP="00A55773">
            <w:pPr>
              <w:spacing w:after="120" w:line="240" w:lineRule="auto"/>
              <w:rPr>
                <w:b/>
                <w:smallCaps/>
                <w:noProof/>
                <w:color w:val="17365D" w:themeColor="text2" w:themeShade="BF"/>
                <w:sz w:val="12"/>
                <w:szCs w:val="18"/>
                <w:lang w:eastAsia="nl-BE"/>
              </w:rPr>
            </w:pPr>
            <w:r w:rsidRPr="00A55773">
              <w:rPr>
                <w:rFonts w:ascii="Calibri" w:eastAsia="Times New Roman" w:hAnsi="Calibri" w:cs="Times New Roman"/>
                <w:lang w:val="lv-LV" w:eastAsia="lv-LV"/>
              </w:rPr>
              <w:object w:dxaOrig="8220" w:dyaOrig="5940">
                <v:shape id="_x0000_i1026" type="#_x0000_t75" style="width:91.95pt;height:67pt" o:ole="">
                  <v:imagedata r:id="rId10" o:title=""/>
                </v:shape>
                <o:OLEObject Type="Embed" ProgID="PBrush" ShapeID="_x0000_i1026" DrawAspect="Content" ObjectID="_1448092440" r:id="rId11"/>
              </w:object>
            </w:r>
          </w:p>
        </w:tc>
      </w:tr>
    </w:tbl>
    <w:p w:rsidR="009F2F3E" w:rsidRPr="00A55773" w:rsidRDefault="009F2F3E" w:rsidP="00A55773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b/>
          <w:sz w:val="36"/>
          <w:lang w:val="lv-LV"/>
        </w:rPr>
      </w:pPr>
      <w:r w:rsidRPr="00A55773">
        <w:rPr>
          <w:rFonts w:asciiTheme="minorHAnsi" w:hAnsiTheme="minorHAnsi"/>
          <w:b/>
          <w:sz w:val="36"/>
          <w:lang w:val="lv-LV"/>
        </w:rPr>
        <w:t>Vai galvaspilsētas izmanto pārmaiņas savā labā?</w:t>
      </w:r>
    </w:p>
    <w:p w:rsidR="00056CBB" w:rsidRPr="00A55773" w:rsidRDefault="00056CBB" w:rsidP="00A55773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b/>
          <w:lang w:val="lv-LV"/>
        </w:rPr>
      </w:pPr>
      <w:r w:rsidRPr="00A55773">
        <w:rPr>
          <w:rFonts w:asciiTheme="minorHAnsi" w:hAnsiTheme="minorHAnsi"/>
          <w:b/>
          <w:lang w:val="lv-LV"/>
        </w:rPr>
        <w:t>Informācija medijiem</w:t>
      </w:r>
    </w:p>
    <w:p w:rsidR="00056CBB" w:rsidRPr="00A55773" w:rsidRDefault="00056CBB" w:rsidP="00A55773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b/>
          <w:lang w:val="lv-LV"/>
        </w:rPr>
      </w:pPr>
      <w:r w:rsidRPr="00A55773">
        <w:rPr>
          <w:rFonts w:asciiTheme="minorHAnsi" w:hAnsiTheme="minorHAnsi"/>
          <w:b/>
          <w:lang w:val="lv-LV"/>
        </w:rPr>
        <w:t xml:space="preserve">Rīga, 2013.gada </w:t>
      </w:r>
      <w:r w:rsidR="00702F58" w:rsidRPr="00A55773">
        <w:rPr>
          <w:rFonts w:asciiTheme="minorHAnsi" w:hAnsiTheme="minorHAnsi"/>
          <w:b/>
          <w:lang w:val="lv-LV"/>
        </w:rPr>
        <w:t>9.decem</w:t>
      </w:r>
      <w:r w:rsidRPr="00A55773">
        <w:rPr>
          <w:rFonts w:asciiTheme="minorHAnsi" w:hAnsiTheme="minorHAnsi"/>
          <w:b/>
          <w:lang w:val="lv-LV"/>
        </w:rPr>
        <w:t>brī</w:t>
      </w:r>
    </w:p>
    <w:p w:rsidR="009F2F3E" w:rsidRPr="00A55773" w:rsidRDefault="009F2F3E" w:rsidP="00A55773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b/>
          <w:sz w:val="22"/>
          <w:szCs w:val="22"/>
          <w:lang w:val="lv-LV"/>
        </w:rPr>
      </w:pPr>
    </w:p>
    <w:p w:rsidR="00A55773" w:rsidRPr="00A55773" w:rsidRDefault="00BB48F8" w:rsidP="00A55773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/>
          <w:b/>
          <w:szCs w:val="22"/>
          <w:lang w:val="lv-LV"/>
        </w:rPr>
      </w:pPr>
      <w:r>
        <w:rPr>
          <w:rFonts w:asciiTheme="minorHAnsi" w:hAnsiTheme="minorHAnsi"/>
          <w:b/>
          <w:szCs w:val="22"/>
          <w:lang w:val="lv-LV"/>
        </w:rPr>
        <w:t>Baltijas Star</w:t>
      </w:r>
      <w:bookmarkStart w:id="0" w:name="_GoBack"/>
      <w:bookmarkEnd w:id="0"/>
      <w:r w:rsidR="00626E36">
        <w:rPr>
          <w:rFonts w:asciiTheme="minorHAnsi" w:hAnsiTheme="minorHAnsi"/>
          <w:b/>
          <w:szCs w:val="22"/>
          <w:lang w:val="lv-LV"/>
        </w:rPr>
        <w:t>preģionālais attīstības centrs</w:t>
      </w:r>
      <w:r w:rsidR="00835C7F" w:rsidRPr="00A55773">
        <w:rPr>
          <w:rFonts w:asciiTheme="minorHAnsi" w:hAnsiTheme="minorHAnsi"/>
          <w:b/>
          <w:szCs w:val="22"/>
          <w:lang w:val="lv-LV"/>
        </w:rPr>
        <w:t xml:space="preserve"> aicina jaunos zinātniekus</w:t>
      </w:r>
      <w:r w:rsidR="00702F58" w:rsidRPr="00A55773">
        <w:rPr>
          <w:rFonts w:asciiTheme="minorHAnsi" w:hAnsiTheme="minorHAnsi"/>
          <w:b/>
          <w:szCs w:val="22"/>
          <w:lang w:val="lv-LV"/>
        </w:rPr>
        <w:t>, kā arī institūcijas un organizācijas, kas strādā ar reģionālās attīstības jautājumiem</w:t>
      </w:r>
      <w:r w:rsidR="00A55773" w:rsidRPr="00A55773">
        <w:rPr>
          <w:rFonts w:asciiTheme="minorHAnsi" w:hAnsiTheme="minorHAnsi"/>
          <w:b/>
          <w:szCs w:val="22"/>
          <w:lang w:val="lv-LV"/>
        </w:rPr>
        <w:t>,</w:t>
      </w:r>
      <w:r w:rsidR="00835C7F" w:rsidRPr="00A55773">
        <w:rPr>
          <w:rFonts w:asciiTheme="minorHAnsi" w:hAnsiTheme="minorHAnsi"/>
          <w:b/>
          <w:szCs w:val="22"/>
          <w:lang w:val="lv-LV"/>
        </w:rPr>
        <w:t xml:space="preserve"> piedalīties starptautiskā seminārā par sociālekonomiskās situācijas izmaiņu ietekmi uz galvaspilsētām</w:t>
      </w:r>
      <w:r w:rsidR="00A55773" w:rsidRPr="00A55773">
        <w:rPr>
          <w:rFonts w:asciiTheme="minorHAnsi" w:hAnsiTheme="minorHAnsi"/>
          <w:b/>
          <w:szCs w:val="22"/>
          <w:lang w:val="lv-LV"/>
        </w:rPr>
        <w:t xml:space="preserve"> „Vai galvaspilsētas izmanto pārmaiņas savā labā?” (Capital Cities: Embracing the Change and Tapping into Opportunities)</w:t>
      </w:r>
      <w:r w:rsidR="00835C7F" w:rsidRPr="00A55773">
        <w:rPr>
          <w:rFonts w:asciiTheme="minorHAnsi" w:hAnsiTheme="minorHAnsi"/>
          <w:b/>
          <w:szCs w:val="22"/>
          <w:lang w:val="lv-LV"/>
        </w:rPr>
        <w:t xml:space="preserve">. </w:t>
      </w:r>
    </w:p>
    <w:p w:rsidR="00A55773" w:rsidRPr="00A55773" w:rsidRDefault="00A55773" w:rsidP="00A55773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/>
          <w:sz w:val="22"/>
          <w:szCs w:val="22"/>
          <w:lang w:val="lv-LV"/>
        </w:rPr>
      </w:pPr>
      <w:r w:rsidRPr="00A55773">
        <w:rPr>
          <w:rFonts w:asciiTheme="minorHAnsi" w:hAnsiTheme="minorHAnsi"/>
          <w:sz w:val="22"/>
          <w:szCs w:val="22"/>
          <w:lang w:val="lv-LV"/>
        </w:rPr>
        <w:t>Seminārs notiks 13.decembrī no plkst.</w:t>
      </w:r>
      <w:r w:rsidR="00CB6484">
        <w:rPr>
          <w:rFonts w:asciiTheme="minorHAnsi" w:hAnsiTheme="minorHAnsi"/>
          <w:sz w:val="22"/>
          <w:szCs w:val="22"/>
          <w:lang w:val="lv-LV"/>
        </w:rPr>
        <w:t xml:space="preserve"> 10:00</w:t>
      </w:r>
      <w:r w:rsidRPr="00A55773">
        <w:rPr>
          <w:rFonts w:asciiTheme="minorHAnsi" w:hAnsiTheme="minorHAnsi"/>
          <w:sz w:val="22"/>
          <w:szCs w:val="22"/>
          <w:lang w:val="lv-LV"/>
        </w:rPr>
        <w:t>-17:00 Eiropas Komisijas pārstāvniecībā Latvijā (3.stāvs, Aspazijas bulv.28).</w:t>
      </w:r>
    </w:p>
    <w:p w:rsidR="00702F58" w:rsidRPr="00A55773" w:rsidRDefault="00702F58" w:rsidP="00A55773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/>
          <w:sz w:val="22"/>
          <w:szCs w:val="22"/>
          <w:lang w:val="lv-LV"/>
        </w:rPr>
      </w:pPr>
      <w:r w:rsidRPr="00A55773">
        <w:rPr>
          <w:rFonts w:asciiTheme="minorHAnsi" w:hAnsiTheme="minorHAnsi"/>
          <w:sz w:val="22"/>
          <w:szCs w:val="22"/>
          <w:lang w:val="lv-LV"/>
        </w:rPr>
        <w:t>Vairāk kā desmit j</w:t>
      </w:r>
      <w:r w:rsidR="009F2F3E" w:rsidRPr="00A55773">
        <w:rPr>
          <w:rFonts w:asciiTheme="minorHAnsi" w:hAnsiTheme="minorHAnsi"/>
          <w:sz w:val="22"/>
          <w:szCs w:val="22"/>
          <w:lang w:val="lv-LV"/>
        </w:rPr>
        <w:t>aunie zinātnieki</w:t>
      </w:r>
      <w:r w:rsidRPr="00A55773">
        <w:rPr>
          <w:rFonts w:asciiTheme="minorHAnsi" w:hAnsiTheme="minorHAnsi"/>
          <w:sz w:val="22"/>
          <w:szCs w:val="22"/>
          <w:lang w:val="lv-LV"/>
        </w:rPr>
        <w:t xml:space="preserve"> un jau pieredzējuši pētnieki no Polijas, Ukrainas, Beļģijas, Krievijas un Latvijas sniegs </w:t>
      </w:r>
      <w:r w:rsidR="009F2F3E" w:rsidRPr="00A55773">
        <w:rPr>
          <w:rFonts w:asciiTheme="minorHAnsi" w:hAnsiTheme="minorHAnsi"/>
          <w:sz w:val="22"/>
          <w:szCs w:val="22"/>
          <w:lang w:val="lv-LV"/>
        </w:rPr>
        <w:t xml:space="preserve">ziņojumus par šādām tēmām: </w:t>
      </w:r>
    </w:p>
    <w:p w:rsidR="00702F58" w:rsidRPr="00A55773" w:rsidRDefault="00702F58" w:rsidP="00A55773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  <w:lang w:val="lv-LV"/>
        </w:rPr>
      </w:pPr>
      <w:r w:rsidRPr="00A55773">
        <w:rPr>
          <w:rFonts w:asciiTheme="minorHAnsi" w:hAnsiTheme="minorHAnsi"/>
          <w:sz w:val="22"/>
          <w:szCs w:val="22"/>
          <w:lang w:val="lv-LV"/>
        </w:rPr>
        <w:t>Galvenās galvaspilsētu attīstības tendences.</w:t>
      </w:r>
    </w:p>
    <w:p w:rsidR="00702F58" w:rsidRPr="00A55773" w:rsidRDefault="00702F58" w:rsidP="00A55773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  <w:lang w:val="lv-LV"/>
        </w:rPr>
      </w:pPr>
      <w:r w:rsidRPr="00A55773">
        <w:rPr>
          <w:rFonts w:asciiTheme="minorHAnsi" w:hAnsiTheme="minorHAnsi"/>
          <w:sz w:val="22"/>
          <w:szCs w:val="22"/>
          <w:lang w:val="lv-LV"/>
        </w:rPr>
        <w:t>Proaktīva un stratēģiska pieeja telpiskajai plānošanai.</w:t>
      </w:r>
    </w:p>
    <w:p w:rsidR="00702F58" w:rsidRPr="00A55773" w:rsidRDefault="00702F58" w:rsidP="00A55773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  <w:lang w:val="lv-LV"/>
        </w:rPr>
      </w:pPr>
      <w:r w:rsidRPr="00A55773">
        <w:rPr>
          <w:rFonts w:asciiTheme="minorHAnsi" w:hAnsiTheme="minorHAnsi"/>
          <w:sz w:val="22"/>
          <w:szCs w:val="22"/>
          <w:lang w:val="lv-LV"/>
        </w:rPr>
        <w:t>Jauni faktori, kas ietekmē pilsētu attīstības tendences.</w:t>
      </w:r>
    </w:p>
    <w:p w:rsidR="00702F58" w:rsidRPr="00A55773" w:rsidRDefault="00702F58" w:rsidP="00A55773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  <w:lang w:val="lv-LV"/>
        </w:rPr>
      </w:pPr>
      <w:r w:rsidRPr="00A55773">
        <w:rPr>
          <w:rFonts w:asciiTheme="minorHAnsi" w:hAnsiTheme="minorHAnsi"/>
          <w:sz w:val="22"/>
          <w:szCs w:val="22"/>
          <w:lang w:val="lv-LV"/>
        </w:rPr>
        <w:t>Pētniecība un attīstība Eiropas galvaspilsētās.</w:t>
      </w:r>
    </w:p>
    <w:p w:rsidR="00702F58" w:rsidRPr="00A55773" w:rsidRDefault="00A55773" w:rsidP="00A55773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  <w:lang w:val="lv-LV"/>
        </w:rPr>
      </w:pPr>
      <w:r w:rsidRPr="00A55773">
        <w:rPr>
          <w:rFonts w:asciiTheme="minorHAnsi" w:hAnsiTheme="minorHAnsi"/>
          <w:sz w:val="22"/>
          <w:szCs w:val="22"/>
          <w:lang w:val="lv-LV"/>
        </w:rPr>
        <w:t>Investīciju nekustamā īpašumā ietekme uz Rīgas telpisko un funkcionālo struktūru.</w:t>
      </w:r>
    </w:p>
    <w:p w:rsidR="00A55773" w:rsidRPr="00A55773" w:rsidRDefault="00A55773" w:rsidP="00A55773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  <w:lang w:val="lv-LV"/>
        </w:rPr>
      </w:pPr>
      <w:r w:rsidRPr="00A55773">
        <w:rPr>
          <w:rFonts w:asciiTheme="minorHAnsi" w:hAnsiTheme="minorHAnsi"/>
          <w:sz w:val="22"/>
          <w:szCs w:val="22"/>
          <w:lang w:val="lv-LV"/>
        </w:rPr>
        <w:t>Vietējo kopienu attīstības iespējas galvaspilsētā.</w:t>
      </w:r>
    </w:p>
    <w:p w:rsidR="00A55773" w:rsidRPr="00A55773" w:rsidRDefault="00A55773" w:rsidP="00A55773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  <w:lang w:val="lv-LV"/>
        </w:rPr>
      </w:pPr>
      <w:r w:rsidRPr="00A55773">
        <w:rPr>
          <w:rFonts w:asciiTheme="minorHAnsi" w:hAnsiTheme="minorHAnsi"/>
          <w:sz w:val="22"/>
          <w:szCs w:val="22"/>
          <w:lang w:val="lv-LV"/>
        </w:rPr>
        <w:t>Teritoriālais mārketings - pilsētas attīstības rīks.</w:t>
      </w:r>
    </w:p>
    <w:p w:rsidR="003B73F8" w:rsidRPr="00A55773" w:rsidRDefault="00A55773" w:rsidP="00A55773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/>
          <w:sz w:val="22"/>
          <w:szCs w:val="22"/>
          <w:lang w:val="lv-LV"/>
        </w:rPr>
      </w:pPr>
      <w:r w:rsidRPr="00A55773">
        <w:rPr>
          <w:rFonts w:asciiTheme="minorHAnsi" w:hAnsiTheme="minorHAnsi"/>
          <w:sz w:val="22"/>
          <w:szCs w:val="22"/>
          <w:lang w:val="lv-LV"/>
        </w:rPr>
        <w:t xml:space="preserve">Semināru organizē </w:t>
      </w:r>
      <w:r w:rsidR="00626E36">
        <w:rPr>
          <w:rFonts w:asciiTheme="minorHAnsi" w:hAnsiTheme="minorHAnsi"/>
          <w:sz w:val="22"/>
          <w:szCs w:val="22"/>
          <w:lang w:val="lv-LV"/>
        </w:rPr>
        <w:t>biedrība</w:t>
      </w:r>
      <w:r w:rsidR="00626E36" w:rsidRPr="00A55773">
        <w:rPr>
          <w:rFonts w:asciiTheme="minorHAnsi" w:hAnsiTheme="minorHAnsi"/>
          <w:sz w:val="22"/>
          <w:szCs w:val="22"/>
          <w:lang w:val="lv-LV"/>
        </w:rPr>
        <w:t xml:space="preserve"> „Baltijas Starpreģionālais attīstības centrs”</w:t>
      </w:r>
      <w:r w:rsidR="00626E36">
        <w:rPr>
          <w:rFonts w:asciiTheme="minorHAnsi" w:hAnsiTheme="minorHAnsi"/>
          <w:sz w:val="22"/>
          <w:szCs w:val="22"/>
          <w:lang w:val="lv-LV"/>
        </w:rPr>
        <w:t xml:space="preserve"> sadarbībā ar</w:t>
      </w:r>
      <w:r w:rsidR="00626E36" w:rsidRPr="00A55773">
        <w:rPr>
          <w:rFonts w:asciiTheme="minorHAnsi" w:hAnsiTheme="minorHAnsi"/>
          <w:sz w:val="22"/>
          <w:szCs w:val="22"/>
          <w:lang w:val="lv-LV"/>
        </w:rPr>
        <w:t xml:space="preserve"> </w:t>
      </w:r>
      <w:r w:rsidRPr="00A55773">
        <w:rPr>
          <w:rFonts w:asciiTheme="minorHAnsi" w:hAnsiTheme="minorHAnsi"/>
          <w:sz w:val="22"/>
          <w:szCs w:val="22"/>
          <w:lang w:val="lv-LV"/>
        </w:rPr>
        <w:t>Latvijas Universi</w:t>
      </w:r>
      <w:r w:rsidR="00626E36">
        <w:rPr>
          <w:rFonts w:asciiTheme="minorHAnsi" w:hAnsiTheme="minorHAnsi"/>
          <w:sz w:val="22"/>
          <w:szCs w:val="22"/>
          <w:lang w:val="lv-LV"/>
        </w:rPr>
        <w:t>tātes Žana Monē izcilības centru un Reģionālo studiju asociāciju (Lielbritānija).</w:t>
      </w:r>
      <w:r w:rsidRPr="00A55773">
        <w:rPr>
          <w:rFonts w:asciiTheme="minorHAnsi" w:hAnsiTheme="minorHAnsi"/>
          <w:sz w:val="22"/>
          <w:szCs w:val="22"/>
          <w:lang w:val="lv-LV"/>
        </w:rPr>
        <w:t xml:space="preserve"> </w:t>
      </w:r>
      <w:r w:rsidR="003B73F8" w:rsidRPr="00A55773">
        <w:rPr>
          <w:rFonts w:asciiTheme="minorHAnsi" w:hAnsiTheme="minorHAnsi"/>
          <w:sz w:val="22"/>
          <w:szCs w:val="22"/>
          <w:lang w:val="lv-LV"/>
        </w:rPr>
        <w:t xml:space="preserve">Šis būs jau trešais pētniecības tīkla „Globālās ekonomiskās krīzes ietekme uz galvaspilsētām” organizētais seminārs. Pirmie divi notika Varšavā un Kijevā. </w:t>
      </w:r>
      <w:r w:rsidR="00626E36">
        <w:rPr>
          <w:rFonts w:asciiTheme="minorHAnsi" w:hAnsiTheme="minorHAnsi"/>
          <w:sz w:val="22"/>
          <w:szCs w:val="22"/>
          <w:lang w:val="lv-LV"/>
        </w:rPr>
        <w:t>Biedrība</w:t>
      </w:r>
      <w:r w:rsidR="00626E36" w:rsidRPr="00A55773">
        <w:rPr>
          <w:rFonts w:asciiTheme="minorHAnsi" w:hAnsiTheme="minorHAnsi"/>
          <w:sz w:val="22"/>
          <w:szCs w:val="22"/>
          <w:lang w:val="lv-LV"/>
        </w:rPr>
        <w:t xml:space="preserve"> „Baltijas Starpreģionālais attīstības centrs”</w:t>
      </w:r>
      <w:r w:rsidR="00626E36">
        <w:rPr>
          <w:rFonts w:asciiTheme="minorHAnsi" w:hAnsiTheme="minorHAnsi"/>
          <w:sz w:val="22"/>
          <w:szCs w:val="22"/>
          <w:lang w:val="lv-LV"/>
        </w:rPr>
        <w:t xml:space="preserve"> ir Reģionālo studiju asociāciju biedrs.</w:t>
      </w:r>
    </w:p>
    <w:p w:rsidR="00056CBB" w:rsidRPr="00A55773" w:rsidRDefault="00056CBB" w:rsidP="00A55773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/>
          <w:i/>
          <w:sz w:val="22"/>
          <w:szCs w:val="22"/>
          <w:lang w:val="lv-LV"/>
        </w:rPr>
      </w:pPr>
      <w:r w:rsidRPr="00A55773">
        <w:rPr>
          <w:rFonts w:asciiTheme="minorHAnsi" w:hAnsiTheme="minorHAnsi"/>
          <w:sz w:val="22"/>
          <w:szCs w:val="22"/>
          <w:lang w:val="lv-LV"/>
        </w:rPr>
        <w:t xml:space="preserve">Reģistrēšanās semināram </w:t>
      </w:r>
      <w:r w:rsidR="002A7782">
        <w:rPr>
          <w:rFonts w:asciiTheme="minorHAnsi" w:hAnsiTheme="minorHAnsi"/>
          <w:sz w:val="22"/>
          <w:szCs w:val="22"/>
          <w:lang w:val="lv-LV"/>
        </w:rPr>
        <w:t>līdz 11</w:t>
      </w:r>
      <w:r w:rsidR="00A55773" w:rsidRPr="00A55773">
        <w:rPr>
          <w:rFonts w:asciiTheme="minorHAnsi" w:hAnsiTheme="minorHAnsi"/>
          <w:sz w:val="22"/>
          <w:szCs w:val="22"/>
          <w:lang w:val="lv-LV"/>
        </w:rPr>
        <w:t>.decem</w:t>
      </w:r>
      <w:r w:rsidR="002A7782">
        <w:rPr>
          <w:rFonts w:asciiTheme="minorHAnsi" w:hAnsiTheme="minorHAnsi"/>
          <w:sz w:val="22"/>
          <w:szCs w:val="22"/>
          <w:lang w:val="lv-LV"/>
        </w:rPr>
        <w:t>b</w:t>
      </w:r>
      <w:r w:rsidR="00A55773" w:rsidRPr="00A55773">
        <w:rPr>
          <w:rFonts w:asciiTheme="minorHAnsi" w:hAnsiTheme="minorHAnsi"/>
          <w:sz w:val="22"/>
          <w:szCs w:val="22"/>
          <w:lang w:val="lv-LV"/>
        </w:rPr>
        <w:t xml:space="preserve">rim, sūtot pieteikumu uz epastu </w:t>
      </w:r>
      <w:hyperlink r:id="rId12" w:history="1">
        <w:r w:rsidR="00F420BA" w:rsidRPr="00B50D72">
          <w:rPr>
            <w:rStyle w:val="Hyperlink"/>
            <w:rFonts w:asciiTheme="minorHAnsi" w:hAnsiTheme="minorHAnsi"/>
            <w:sz w:val="22"/>
            <w:szCs w:val="22"/>
            <w:lang w:val="lv-LV"/>
          </w:rPr>
          <w:t>birdhub.eu@gmail.com</w:t>
        </w:r>
      </w:hyperlink>
      <w:r w:rsidR="00F420BA">
        <w:rPr>
          <w:rFonts w:asciiTheme="minorHAnsi" w:hAnsiTheme="minorHAnsi"/>
          <w:sz w:val="22"/>
          <w:szCs w:val="22"/>
          <w:lang w:val="lv-LV"/>
        </w:rPr>
        <w:t xml:space="preserve">. Vietu skaits ir ierobežots. </w:t>
      </w:r>
      <w:r w:rsidR="00EB5E2A" w:rsidRPr="00A55773">
        <w:rPr>
          <w:rFonts w:asciiTheme="minorHAnsi" w:hAnsiTheme="minorHAnsi"/>
          <w:sz w:val="22"/>
          <w:szCs w:val="22"/>
          <w:lang w:val="lv-LV"/>
        </w:rPr>
        <w:t xml:space="preserve"> </w:t>
      </w:r>
    </w:p>
    <w:p w:rsidR="00A55773" w:rsidRPr="00A55773" w:rsidRDefault="00A55773" w:rsidP="00A5577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sz w:val="22"/>
          <w:szCs w:val="22"/>
          <w:lang w:val="lv-LV"/>
        </w:rPr>
      </w:pPr>
      <w:r w:rsidRPr="00A55773">
        <w:rPr>
          <w:rFonts w:asciiTheme="minorHAnsi" w:hAnsiTheme="minorHAnsi"/>
          <w:i/>
          <w:sz w:val="22"/>
          <w:szCs w:val="22"/>
          <w:lang w:val="lv-LV"/>
        </w:rPr>
        <w:t xml:space="preserve">Papildus informācija: </w:t>
      </w:r>
    </w:p>
    <w:p w:rsidR="00AA6402" w:rsidRPr="00626E36" w:rsidRDefault="00626E36" w:rsidP="00626E3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sz w:val="22"/>
          <w:szCs w:val="22"/>
          <w:lang w:val="lv-LV"/>
        </w:rPr>
      </w:pPr>
      <w:r w:rsidRPr="00626E36">
        <w:rPr>
          <w:rFonts w:asciiTheme="minorHAnsi" w:hAnsiTheme="minorHAnsi"/>
          <w:i/>
          <w:sz w:val="22"/>
          <w:szCs w:val="22"/>
          <w:lang w:val="lv-LV"/>
        </w:rPr>
        <w:t>Baltijas Startreģionālais attīstības centrs</w:t>
      </w:r>
    </w:p>
    <w:p w:rsidR="00A55773" w:rsidRPr="00626E36" w:rsidRDefault="00626E36" w:rsidP="00626E3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sz w:val="22"/>
          <w:szCs w:val="22"/>
          <w:lang w:val="lv-LV"/>
        </w:rPr>
      </w:pPr>
      <w:r w:rsidRPr="00626E36">
        <w:rPr>
          <w:rFonts w:asciiTheme="minorHAnsi" w:hAnsiTheme="minorHAnsi"/>
          <w:i/>
          <w:sz w:val="22"/>
          <w:szCs w:val="22"/>
          <w:lang w:val="lv-LV"/>
        </w:rPr>
        <w:t>birdhub.eu@gmail.com</w:t>
      </w:r>
    </w:p>
    <w:p w:rsidR="00626E36" w:rsidRDefault="00BB48F8" w:rsidP="00626E3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sz w:val="22"/>
          <w:szCs w:val="22"/>
          <w:lang w:val="lv-LV"/>
        </w:rPr>
      </w:pPr>
      <w:hyperlink r:id="rId13" w:history="1">
        <w:r w:rsidR="00626E36" w:rsidRPr="00631840">
          <w:rPr>
            <w:rStyle w:val="Hyperlink"/>
            <w:rFonts w:asciiTheme="minorHAnsi" w:hAnsiTheme="minorHAnsi"/>
            <w:i/>
            <w:sz w:val="22"/>
            <w:szCs w:val="22"/>
            <w:lang w:val="lv-LV"/>
          </w:rPr>
          <w:t>www.birdhub.lv</w:t>
        </w:r>
      </w:hyperlink>
      <w:r w:rsidR="00626E36" w:rsidRPr="00626E36">
        <w:rPr>
          <w:rFonts w:asciiTheme="minorHAnsi" w:hAnsiTheme="minorHAnsi"/>
          <w:i/>
          <w:sz w:val="22"/>
          <w:szCs w:val="22"/>
          <w:lang w:val="lv-LV"/>
        </w:rPr>
        <w:t xml:space="preserve"> </w:t>
      </w:r>
    </w:p>
    <w:p w:rsidR="00626E36" w:rsidRPr="00626E36" w:rsidRDefault="00626E36" w:rsidP="00626E3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sz w:val="22"/>
          <w:szCs w:val="22"/>
          <w:lang w:val="lv-LV"/>
        </w:rPr>
      </w:pPr>
    </w:p>
    <w:p w:rsidR="00925FC6" w:rsidRPr="00A55773" w:rsidRDefault="00925FC6" w:rsidP="00A55773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  <w:lang w:val="lv-LV"/>
        </w:rPr>
      </w:pPr>
      <w:r w:rsidRPr="00A55773">
        <w:rPr>
          <w:rFonts w:asciiTheme="minorHAnsi" w:hAnsiTheme="minorHAnsi"/>
          <w:sz w:val="22"/>
          <w:szCs w:val="22"/>
          <w:lang w:val="lv-LV"/>
        </w:rPr>
        <w:t>Semināru finansiāli atbalsta Reģionālo studiju Asociācija, Latvijas Universitāte un Islande, Lihtenšteina un Norvēģija.</w:t>
      </w:r>
    </w:p>
    <w:p w:rsidR="00927F15" w:rsidRPr="00A55773" w:rsidRDefault="00925FC6" w:rsidP="00A55773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Theme="minorHAnsi" w:hAnsiTheme="minorHAnsi"/>
          <w:b/>
          <w:bCs/>
          <w:position w:val="1"/>
          <w:sz w:val="24"/>
          <w:szCs w:val="24"/>
        </w:rPr>
      </w:pPr>
      <w:r w:rsidRPr="00A55773">
        <w:rPr>
          <w:rFonts w:asciiTheme="minorHAnsi" w:hAnsiTheme="minorHAnsi"/>
          <w:b/>
          <w:noProof/>
          <w:lang w:val="nl-BE" w:eastAsia="nl-BE"/>
        </w:rPr>
        <w:drawing>
          <wp:inline distT="0" distB="0" distL="0" distR="0" wp14:anchorId="7A6A9480" wp14:editId="65CFEC68">
            <wp:extent cx="5390753" cy="1080000"/>
            <wp:effectExtent l="0" t="0" r="635" b="6350"/>
            <wp:docPr id="5" name="Picture 5" descr="E:\My Pictures\-=Viskas=-\Logotipi\SIF_EE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My Pictures\-=Viskas=-\Logotipi\SIF_EEZ_log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75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F15" w:rsidRPr="00A55773" w:rsidSect="00A55773">
      <w:type w:val="continuous"/>
      <w:pgSz w:w="11920" w:h="16840"/>
      <w:pgMar w:top="709" w:right="1288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4BB7"/>
    <w:multiLevelType w:val="hybridMultilevel"/>
    <w:tmpl w:val="BB6803F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BD55FD"/>
    <w:multiLevelType w:val="hybridMultilevel"/>
    <w:tmpl w:val="539849F4"/>
    <w:lvl w:ilvl="0" w:tplc="14B23A42">
      <w:numFmt w:val="bullet"/>
      <w:lvlText w:val=""/>
      <w:lvlJc w:val="left"/>
      <w:pPr>
        <w:ind w:left="927" w:hanging="360"/>
      </w:pPr>
      <w:rPr>
        <w:rFonts w:ascii="Calibri" w:eastAsia="Times New Roman" w:hAnsi="Calibri" w:cs="Symbo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5F5128E"/>
    <w:multiLevelType w:val="hybridMultilevel"/>
    <w:tmpl w:val="F844D050"/>
    <w:lvl w:ilvl="0" w:tplc="14B23A42">
      <w:numFmt w:val="bullet"/>
      <w:lvlText w:val=""/>
      <w:lvlJc w:val="left"/>
      <w:pPr>
        <w:ind w:left="1494" w:hanging="360"/>
      </w:pPr>
      <w:rPr>
        <w:rFonts w:ascii="Calibri" w:eastAsia="Times New Roman" w:hAnsi="Calibri" w:cs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345F16"/>
    <w:multiLevelType w:val="hybridMultilevel"/>
    <w:tmpl w:val="6B700BE0"/>
    <w:lvl w:ilvl="0" w:tplc="9946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1128B1"/>
    <w:multiLevelType w:val="hybridMultilevel"/>
    <w:tmpl w:val="B7A47C4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1813517"/>
    <w:multiLevelType w:val="hybridMultilevel"/>
    <w:tmpl w:val="D64C9D4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03"/>
    <w:rsid w:val="00027AEE"/>
    <w:rsid w:val="00034A65"/>
    <w:rsid w:val="00056CBB"/>
    <w:rsid w:val="00141275"/>
    <w:rsid w:val="002A7782"/>
    <w:rsid w:val="002C416F"/>
    <w:rsid w:val="00320803"/>
    <w:rsid w:val="003424FD"/>
    <w:rsid w:val="00352A43"/>
    <w:rsid w:val="003B5847"/>
    <w:rsid w:val="003B73F8"/>
    <w:rsid w:val="004B584B"/>
    <w:rsid w:val="005223D3"/>
    <w:rsid w:val="00626E36"/>
    <w:rsid w:val="00702F58"/>
    <w:rsid w:val="00742B93"/>
    <w:rsid w:val="007A09E1"/>
    <w:rsid w:val="007E237D"/>
    <w:rsid w:val="00835C7F"/>
    <w:rsid w:val="00925FC6"/>
    <w:rsid w:val="00927F15"/>
    <w:rsid w:val="009F2F3E"/>
    <w:rsid w:val="00A55773"/>
    <w:rsid w:val="00AA6402"/>
    <w:rsid w:val="00B26472"/>
    <w:rsid w:val="00B37B6E"/>
    <w:rsid w:val="00B93C56"/>
    <w:rsid w:val="00BB48F8"/>
    <w:rsid w:val="00BD07C3"/>
    <w:rsid w:val="00C065D1"/>
    <w:rsid w:val="00C73CD7"/>
    <w:rsid w:val="00CA70A6"/>
    <w:rsid w:val="00CB6484"/>
    <w:rsid w:val="00D521B7"/>
    <w:rsid w:val="00D9085B"/>
    <w:rsid w:val="00E73684"/>
    <w:rsid w:val="00EB5E2A"/>
    <w:rsid w:val="00F41A31"/>
    <w:rsid w:val="00F4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56C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B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2B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416F"/>
    <w:rPr>
      <w:rFonts w:asciiTheme="minorHAnsi" w:eastAsiaTheme="minorHAnsi" w:hAnsiTheme="minorHAnsi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56C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B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2B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416F"/>
    <w:rPr>
      <w:rFonts w:asciiTheme="minorHAnsi" w:eastAsiaTheme="minorHAnsi" w:hAnsiTheme="minorHAnsi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irdhub.lv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mailto:birdhub.eu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</Company>
  <LinksUpToDate>false</LinksUpToDate>
  <CharactersWithSpaces>2093</CharactersWithSpaces>
  <SharedDoc>false</SharedDoc>
  <HLinks>
    <vt:vector size="12" baseType="variant">
      <vt:variant>
        <vt:i4>852067</vt:i4>
      </vt:variant>
      <vt:variant>
        <vt:i4>3</vt:i4>
      </vt:variant>
      <vt:variant>
        <vt:i4>0</vt:i4>
      </vt:variant>
      <vt:variant>
        <vt:i4>5</vt:i4>
      </vt:variant>
      <vt:variant>
        <vt:lpwstr>mailto:baltina.lu@gmail.com</vt:lpwstr>
      </vt:variant>
      <vt:variant>
        <vt:lpwstr/>
      </vt:variant>
      <vt:variant>
        <vt:i4>8323157</vt:i4>
      </vt:variant>
      <vt:variant>
        <vt:i4>0</vt:i4>
      </vt:variant>
      <vt:variant>
        <vt:i4>0</vt:i4>
      </vt:variant>
      <vt:variant>
        <vt:i4>5</vt:i4>
      </vt:variant>
      <vt:variant>
        <vt:lpwstr>mailto:omrinska@gmail.com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LigaBaltina</dc:creator>
  <dc:description>DocumentCreationInfo</dc:description>
  <cp:lastModifiedBy>Baltina</cp:lastModifiedBy>
  <cp:revision>17</cp:revision>
  <dcterms:created xsi:type="dcterms:W3CDTF">2013-11-06T18:10:00Z</dcterms:created>
  <dcterms:modified xsi:type="dcterms:W3CDTF">2013-12-09T10:08:00Z</dcterms:modified>
</cp:coreProperties>
</file>