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1C4" w:rsidRDefault="007671C4" w:rsidP="001B4309">
      <w:pPr>
        <w:jc w:val="center"/>
        <w:rPr>
          <w:b/>
          <w:sz w:val="34"/>
        </w:rPr>
      </w:pPr>
      <w:r>
        <w:rPr>
          <w:b/>
          <w:sz w:val="34"/>
        </w:rPr>
        <w:t>Brīvprātība un neredzamais aktīvists.</w:t>
      </w:r>
    </w:p>
    <w:p w:rsidR="001B4309" w:rsidRPr="0097167A" w:rsidRDefault="00D324D7" w:rsidP="001B4309">
      <w:pPr>
        <w:jc w:val="center"/>
        <w:rPr>
          <w:b/>
          <w:sz w:val="34"/>
        </w:rPr>
      </w:pPr>
      <w:r w:rsidRPr="0097167A">
        <w:rPr>
          <w:b/>
          <w:sz w:val="34"/>
        </w:rPr>
        <w:t>Kas stāv ai</w:t>
      </w:r>
      <w:r w:rsidR="007671C4">
        <w:rPr>
          <w:b/>
          <w:sz w:val="34"/>
        </w:rPr>
        <w:t>z</w:t>
      </w:r>
      <w:r w:rsidRPr="0097167A">
        <w:rPr>
          <w:b/>
          <w:sz w:val="34"/>
        </w:rPr>
        <w:t xml:space="preserve"> mūsu vēlmes nesamierināties ar notiekošo?</w:t>
      </w:r>
    </w:p>
    <w:p w:rsidR="00B3668E" w:rsidRPr="0097167A" w:rsidRDefault="007671C4" w:rsidP="001B4309">
      <w:pPr>
        <w:jc w:val="center"/>
        <w:rPr>
          <w:b/>
          <w:sz w:val="34"/>
        </w:rPr>
      </w:pPr>
      <w:r>
        <w:rPr>
          <w:b/>
          <w:sz w:val="34"/>
        </w:rPr>
        <w:t>M</w:t>
      </w:r>
      <w:r w:rsidR="00D324D7" w:rsidRPr="0097167A">
        <w:rPr>
          <w:b/>
          <w:sz w:val="34"/>
        </w:rPr>
        <w:t>otīvi, kas liek celties un rīkoties.</w:t>
      </w:r>
    </w:p>
    <w:p w:rsidR="005D0EF9" w:rsidRPr="0097167A" w:rsidRDefault="005D0EF9" w:rsidP="005D0EF9">
      <w:pPr>
        <w:rPr>
          <w:sz w:val="28"/>
        </w:rPr>
      </w:pPr>
    </w:p>
    <w:p w:rsidR="00E44A59" w:rsidRPr="0097167A" w:rsidRDefault="00E44A59">
      <w:pPr>
        <w:rPr>
          <w:sz w:val="28"/>
        </w:rPr>
      </w:pPr>
      <w:r w:rsidRPr="0097167A">
        <w:rPr>
          <w:sz w:val="28"/>
        </w:rPr>
        <w:t>(</w:t>
      </w:r>
      <w:r w:rsidR="007671C4">
        <w:rPr>
          <w:sz w:val="28"/>
        </w:rPr>
        <w:t xml:space="preserve">Izmantoti </w:t>
      </w:r>
      <w:r w:rsidRPr="0097167A">
        <w:rPr>
          <w:sz w:val="28"/>
        </w:rPr>
        <w:t>LU profesora Ģirta Dimdiņa lekcij</w:t>
      </w:r>
      <w:r w:rsidR="007671C4">
        <w:rPr>
          <w:sz w:val="28"/>
        </w:rPr>
        <w:t xml:space="preserve">u </w:t>
      </w:r>
      <w:r w:rsidRPr="0097167A">
        <w:rPr>
          <w:sz w:val="28"/>
        </w:rPr>
        <w:t>par sociālo un politikas psiholoģiju</w:t>
      </w:r>
      <w:r w:rsidR="007671C4">
        <w:rPr>
          <w:sz w:val="28"/>
        </w:rPr>
        <w:t xml:space="preserve"> materiāli</w:t>
      </w:r>
      <w:r w:rsidRPr="0097167A">
        <w:rPr>
          <w:sz w:val="28"/>
        </w:rPr>
        <w:t>)</w:t>
      </w:r>
    </w:p>
    <w:p w:rsidR="00D324D7" w:rsidRPr="0097167A" w:rsidRDefault="00D324D7">
      <w:pPr>
        <w:rPr>
          <w:b/>
          <w:sz w:val="28"/>
          <w:u w:val="single"/>
        </w:rPr>
      </w:pPr>
      <w:r w:rsidRPr="0097167A">
        <w:rPr>
          <w:b/>
          <w:sz w:val="28"/>
          <w:u w:val="single"/>
        </w:rPr>
        <w:t xml:space="preserve">Pirmā grupa - </w:t>
      </w:r>
      <w:r w:rsidR="00E56861" w:rsidRPr="0097167A">
        <w:rPr>
          <w:b/>
          <w:sz w:val="28"/>
          <w:u w:val="single"/>
        </w:rPr>
        <w:t>U</w:t>
      </w:r>
      <w:r w:rsidRPr="0097167A">
        <w:rPr>
          <w:b/>
          <w:sz w:val="28"/>
          <w:u w:val="single"/>
        </w:rPr>
        <w:t>tilitārie motīvi</w:t>
      </w:r>
    </w:p>
    <w:p w:rsidR="00D324D7" w:rsidRPr="0097167A" w:rsidRDefault="00D324D7">
      <w:pPr>
        <w:rPr>
          <w:b/>
          <w:sz w:val="28"/>
        </w:rPr>
      </w:pPr>
      <w:r w:rsidRPr="0097167A">
        <w:rPr>
          <w:b/>
          <w:sz w:val="28"/>
        </w:rPr>
        <w:t>Mērķis: Darīt tā, kā ir labāk man pašam un primāri rūpēties par sava paša labklājību.</w:t>
      </w:r>
    </w:p>
    <w:p w:rsidR="00D324D7" w:rsidRPr="0097167A" w:rsidRDefault="00D324D7">
      <w:pPr>
        <w:rPr>
          <w:b/>
          <w:sz w:val="28"/>
        </w:rPr>
      </w:pPr>
      <w:r w:rsidRPr="0097167A">
        <w:rPr>
          <w:b/>
          <w:sz w:val="28"/>
        </w:rPr>
        <w:t>Pirmie divi ir tā saucamie hedoniskie motīvi</w:t>
      </w:r>
      <w:r w:rsidR="005E3E53" w:rsidRPr="0097167A">
        <w:rPr>
          <w:b/>
          <w:sz w:val="28"/>
        </w:rPr>
        <w:t>.</w:t>
      </w:r>
    </w:p>
    <w:p w:rsidR="00D324D7" w:rsidRPr="0097167A" w:rsidRDefault="00D324D7" w:rsidP="00D324D7">
      <w:pPr>
        <w:pStyle w:val="ListParagraph"/>
        <w:numPr>
          <w:ilvl w:val="0"/>
          <w:numId w:val="1"/>
        </w:numPr>
        <w:rPr>
          <w:sz w:val="28"/>
        </w:rPr>
      </w:pPr>
      <w:r w:rsidRPr="0097167A">
        <w:rPr>
          <w:b/>
          <w:sz w:val="28"/>
        </w:rPr>
        <w:t>Darīt ko tādu, kas uzlabotu manu esošo situāciju</w:t>
      </w:r>
      <w:r w:rsidRPr="0097167A">
        <w:rPr>
          <w:sz w:val="28"/>
        </w:rPr>
        <w:t xml:space="preserve"> </w:t>
      </w:r>
      <w:r w:rsidRPr="0097167A">
        <w:rPr>
          <w:i/>
          <w:sz w:val="28"/>
        </w:rPr>
        <w:t>(piemērs: es iestājos arodbiedrībā, lai par to pašu naudu , iespējams, strādātu mazāk, lai arī man nav īsti nekādu iebildumu pret pašreizējo situāciju)</w:t>
      </w:r>
      <w:r w:rsidRPr="0097167A">
        <w:rPr>
          <w:sz w:val="28"/>
        </w:rPr>
        <w:t>.</w:t>
      </w:r>
    </w:p>
    <w:p w:rsidR="00D324D7" w:rsidRPr="0097167A" w:rsidRDefault="00D324D7" w:rsidP="00D324D7">
      <w:pPr>
        <w:pStyle w:val="ListParagraph"/>
        <w:numPr>
          <w:ilvl w:val="0"/>
          <w:numId w:val="1"/>
        </w:numPr>
        <w:rPr>
          <w:sz w:val="28"/>
        </w:rPr>
      </w:pPr>
      <w:r w:rsidRPr="0097167A">
        <w:rPr>
          <w:b/>
          <w:sz w:val="28"/>
        </w:rPr>
        <w:t>Darīt ko tādu, kas nepieļautu esošās situācijas pasliktināšanos</w:t>
      </w:r>
      <w:r w:rsidRPr="0097167A">
        <w:rPr>
          <w:sz w:val="28"/>
        </w:rPr>
        <w:t xml:space="preserve"> </w:t>
      </w:r>
      <w:r w:rsidRPr="0097167A">
        <w:rPr>
          <w:i/>
          <w:sz w:val="28"/>
        </w:rPr>
        <w:t xml:space="preserve">(piemērs: </w:t>
      </w:r>
      <w:r w:rsidR="005E3E53" w:rsidRPr="0097167A">
        <w:rPr>
          <w:i/>
          <w:sz w:val="28"/>
        </w:rPr>
        <w:t>dzīvojot daudzdzīvokļu mājā es zinu, ka mani maksājumi par komunālajiem pakalpojumiem nav nonākuši līdz pakalpojumu sniedzējam, lai situāciju nepasliktinātu un pakalpojumus neatslēgtu pavisam, es esmu gatavs iestāties iedzīvotāju  veidotā apsaimniekošanas biedrībā vai pat pats tādu dibināt</w:t>
      </w:r>
      <w:r w:rsidRPr="0097167A">
        <w:rPr>
          <w:i/>
          <w:sz w:val="28"/>
        </w:rPr>
        <w:t>)</w:t>
      </w:r>
      <w:r w:rsidR="005E3E53" w:rsidRPr="0097167A">
        <w:rPr>
          <w:sz w:val="28"/>
        </w:rPr>
        <w:t>.</w:t>
      </w:r>
    </w:p>
    <w:p w:rsidR="005E3E53" w:rsidRPr="0097167A" w:rsidRDefault="005E3E53" w:rsidP="005E3E53">
      <w:pPr>
        <w:rPr>
          <w:b/>
          <w:sz w:val="28"/>
        </w:rPr>
      </w:pPr>
      <w:r w:rsidRPr="0097167A">
        <w:rPr>
          <w:b/>
          <w:sz w:val="28"/>
        </w:rPr>
        <w:t>Papildus pirmajiem, kas ir vairāk ekonomiski, eksistē arī divi nedaudz psiholoģiskāki motīvi.</w:t>
      </w:r>
    </w:p>
    <w:p w:rsidR="00D324D7" w:rsidRPr="0097167A" w:rsidRDefault="00D324D7" w:rsidP="005E3E53">
      <w:pPr>
        <w:pStyle w:val="ListParagraph"/>
        <w:numPr>
          <w:ilvl w:val="0"/>
          <w:numId w:val="1"/>
        </w:numPr>
        <w:rPr>
          <w:sz w:val="28"/>
        </w:rPr>
      </w:pPr>
      <w:r w:rsidRPr="0097167A">
        <w:rPr>
          <w:b/>
          <w:sz w:val="28"/>
        </w:rPr>
        <w:t>Nodrošināts sevi ar izvēles brīvību</w:t>
      </w:r>
      <w:r w:rsidR="005E3E53" w:rsidRPr="0097167A">
        <w:rPr>
          <w:sz w:val="28"/>
        </w:rPr>
        <w:t xml:space="preserve"> </w:t>
      </w:r>
      <w:r w:rsidR="005E3E53" w:rsidRPr="0097167A">
        <w:rPr>
          <w:i/>
          <w:sz w:val="28"/>
        </w:rPr>
        <w:t>(piemērs – aizver ciet stūra māju, jo nav naudas, kā rezultātā pilsonis nespēj aiziet un to apskatīties. Lai nodrošinātu sevi nākotnē ar šādu izvēles brīvību, viņš ir gatavs rakstīt kultūras ministrei, vai pat ziedot kau</w:t>
      </w:r>
      <w:r w:rsidR="00E44A59" w:rsidRPr="0097167A">
        <w:rPr>
          <w:i/>
          <w:sz w:val="28"/>
        </w:rPr>
        <w:t>t kādu naudu</w:t>
      </w:r>
      <w:r w:rsidR="005E3E53" w:rsidRPr="0097167A">
        <w:rPr>
          <w:i/>
          <w:sz w:val="28"/>
        </w:rPr>
        <w:t xml:space="preserve"> un lūgt naudu muzeja ierīkošanai Stūra mājā)</w:t>
      </w:r>
    </w:p>
    <w:p w:rsidR="00D324D7" w:rsidRPr="0097167A" w:rsidRDefault="00D324D7" w:rsidP="00D324D7">
      <w:pPr>
        <w:pStyle w:val="ListParagraph"/>
        <w:numPr>
          <w:ilvl w:val="0"/>
          <w:numId w:val="1"/>
        </w:numPr>
        <w:rPr>
          <w:i/>
          <w:sz w:val="28"/>
        </w:rPr>
      </w:pPr>
      <w:r w:rsidRPr="0097167A">
        <w:rPr>
          <w:b/>
          <w:sz w:val="28"/>
        </w:rPr>
        <w:t>Darīt tā, kā dara visi</w:t>
      </w:r>
      <w:r w:rsidR="005E3E53" w:rsidRPr="0097167A">
        <w:rPr>
          <w:sz w:val="28"/>
        </w:rPr>
        <w:t xml:space="preserve"> (sociālajā psiholoģijā to dēvē par </w:t>
      </w:r>
      <w:r w:rsidR="005E3E53" w:rsidRPr="0097167A">
        <w:rPr>
          <w:b/>
          <w:sz w:val="28"/>
        </w:rPr>
        <w:t>sociālo pierādījumu</w:t>
      </w:r>
      <w:r w:rsidR="005E3E53" w:rsidRPr="0097167A">
        <w:rPr>
          <w:sz w:val="28"/>
        </w:rPr>
        <w:t>). Tā ir tendence imitēt vairākumu, jo visi tā dara.</w:t>
      </w:r>
      <w:r w:rsidR="001B4309" w:rsidRPr="0097167A">
        <w:rPr>
          <w:sz w:val="28"/>
        </w:rPr>
        <w:t xml:space="preserve"> </w:t>
      </w:r>
      <w:r w:rsidR="001B4309" w:rsidRPr="0097167A">
        <w:rPr>
          <w:i/>
          <w:sz w:val="28"/>
        </w:rPr>
        <w:t>Piemērs – pirms pāris gadiem, nekustamā īpašuma burbuļa laikā visi pēkšņi kļuva par profesionāliem dzīvokļu mākleriem, jo visiem likās, ka viņi laiž garām peļņas iespēju un sāka tirgot nekustamos īpašumus, pat īsti neprotot ar to nodarboties. Ar ko tas beidzās, mēs visi zinām.</w:t>
      </w:r>
    </w:p>
    <w:p w:rsidR="005E3E53" w:rsidRPr="0097167A" w:rsidRDefault="001B4309" w:rsidP="001B4309">
      <w:pPr>
        <w:rPr>
          <w:sz w:val="28"/>
        </w:rPr>
      </w:pPr>
      <w:r w:rsidRPr="0097167A">
        <w:rPr>
          <w:sz w:val="28"/>
        </w:rPr>
        <w:t xml:space="preserve">Taču ne vienmēr tikai ar utilitārajiem motīviem vien var izskaidrot cilvēku rīcību. Kā piemēru var minēt cilvēkus, kuri mīnusu temperatūrās </w:t>
      </w:r>
      <w:r w:rsidR="00E44A59" w:rsidRPr="0097167A">
        <w:rPr>
          <w:sz w:val="28"/>
        </w:rPr>
        <w:t xml:space="preserve">ar lāstekām pie deguna, bet mirdzošām acīm 6 stundas </w:t>
      </w:r>
      <w:r w:rsidRPr="0097167A">
        <w:rPr>
          <w:sz w:val="28"/>
        </w:rPr>
        <w:t xml:space="preserve">piketē pie vēstniecībām pret </w:t>
      </w:r>
      <w:r w:rsidR="00E44A59" w:rsidRPr="0097167A">
        <w:rPr>
          <w:sz w:val="28"/>
        </w:rPr>
        <w:t xml:space="preserve">Krievijas agresiju Ukrainā </w:t>
      </w:r>
      <w:r w:rsidRPr="0097167A">
        <w:rPr>
          <w:sz w:val="28"/>
        </w:rPr>
        <w:t xml:space="preserve">vai </w:t>
      </w:r>
      <w:r w:rsidR="00E44A59" w:rsidRPr="0097167A">
        <w:rPr>
          <w:sz w:val="28"/>
        </w:rPr>
        <w:t xml:space="preserve">arī </w:t>
      </w:r>
      <w:r w:rsidRPr="0097167A">
        <w:rPr>
          <w:sz w:val="28"/>
        </w:rPr>
        <w:t>pieķēdē sevi pie naftas ieguves torņiem cīņā pret globālo sasilšanu.</w:t>
      </w:r>
      <w:r w:rsidR="00E44A59" w:rsidRPr="0097167A">
        <w:rPr>
          <w:sz w:val="28"/>
        </w:rPr>
        <w:t xml:space="preserve"> Šāda rīcība mums liek paraudzīties nedaudz tālāk par tiem motīviem, kuri mums garantē kaut kādu personisko labumu.</w:t>
      </w:r>
    </w:p>
    <w:p w:rsidR="00D324D7" w:rsidRPr="0097167A" w:rsidRDefault="00E44A59">
      <w:pPr>
        <w:rPr>
          <w:sz w:val="28"/>
        </w:rPr>
      </w:pPr>
      <w:r w:rsidRPr="0097167A">
        <w:rPr>
          <w:sz w:val="28"/>
        </w:rPr>
        <w:lastRenderedPageBreak/>
        <w:t>Otra grupa ir tā saucamā „Morāles pamatu teorija”, kas nosaka, ka lielā mērā mēs vērtējam kas ir labs vai slikts, vai kas mums šķiet pareizs vai nepareizus pēc 5 galvenajiem kritērijiem. Un šie kritēriji lielā mērā arī var kalpot kā spēcīgi motivatori, runājot par cilvēku iesaisti dažādās aktivitātēs.</w:t>
      </w:r>
    </w:p>
    <w:p w:rsidR="00E44A59" w:rsidRPr="0097167A" w:rsidRDefault="00E44A59">
      <w:pPr>
        <w:rPr>
          <w:sz w:val="28"/>
        </w:rPr>
      </w:pPr>
    </w:p>
    <w:p w:rsidR="00D324D7" w:rsidRPr="0097167A" w:rsidRDefault="00D324D7">
      <w:pPr>
        <w:rPr>
          <w:b/>
          <w:sz w:val="28"/>
          <w:u w:val="single"/>
        </w:rPr>
      </w:pPr>
      <w:r w:rsidRPr="0097167A">
        <w:rPr>
          <w:b/>
          <w:sz w:val="28"/>
          <w:u w:val="single"/>
        </w:rPr>
        <w:t xml:space="preserve">Otrā grupa </w:t>
      </w:r>
      <w:r w:rsidR="00E56861" w:rsidRPr="0097167A">
        <w:rPr>
          <w:b/>
          <w:sz w:val="28"/>
          <w:u w:val="single"/>
        </w:rPr>
        <w:t>–</w:t>
      </w:r>
      <w:r w:rsidRPr="0097167A">
        <w:rPr>
          <w:b/>
          <w:sz w:val="28"/>
          <w:u w:val="single"/>
        </w:rPr>
        <w:t xml:space="preserve"> </w:t>
      </w:r>
      <w:r w:rsidR="00E56861" w:rsidRPr="0097167A">
        <w:rPr>
          <w:b/>
          <w:sz w:val="28"/>
          <w:u w:val="single"/>
        </w:rPr>
        <w:t>Morāles motīvi</w:t>
      </w:r>
    </w:p>
    <w:p w:rsidR="00D324D7" w:rsidRPr="0097167A" w:rsidRDefault="00D324D7">
      <w:pPr>
        <w:rPr>
          <w:b/>
          <w:sz w:val="28"/>
        </w:rPr>
      </w:pPr>
      <w:r w:rsidRPr="0097167A">
        <w:rPr>
          <w:b/>
          <w:sz w:val="28"/>
        </w:rPr>
        <w:t>Mērķis: Darīt tā, kā ir labāk un pareizāk.</w:t>
      </w:r>
    </w:p>
    <w:p w:rsidR="00D324D7" w:rsidRPr="0097167A" w:rsidRDefault="001B4309" w:rsidP="001B4309">
      <w:pPr>
        <w:pStyle w:val="ListParagraph"/>
        <w:numPr>
          <w:ilvl w:val="0"/>
          <w:numId w:val="2"/>
        </w:numPr>
        <w:rPr>
          <w:sz w:val="28"/>
        </w:rPr>
      </w:pPr>
      <w:r w:rsidRPr="0097167A">
        <w:rPr>
          <w:b/>
          <w:sz w:val="28"/>
        </w:rPr>
        <w:t xml:space="preserve">Rūpēties </w:t>
      </w:r>
      <w:r w:rsidR="00E44A59" w:rsidRPr="0097167A">
        <w:rPr>
          <w:b/>
          <w:sz w:val="28"/>
        </w:rPr>
        <w:t>par citiem un izvairīties no ciešanu nodarīšanas citiem</w:t>
      </w:r>
      <w:r w:rsidR="00E44A59" w:rsidRPr="0097167A">
        <w:rPr>
          <w:sz w:val="28"/>
        </w:rPr>
        <w:t xml:space="preserve">. (piemērs – tas notiek intuitīvā līmenī. Tas ir iemesls, kāpēc cilvēki iesaistās labdarībā un pat ja mēs neiesaistāmies tiešā veidā, mēs tik un tā skatāmies labdarības koncertus, zvanām uz </w:t>
      </w:r>
      <w:r w:rsidR="009D5B01" w:rsidRPr="0097167A">
        <w:rPr>
          <w:sz w:val="28"/>
        </w:rPr>
        <w:t xml:space="preserve">labdarības </w:t>
      </w:r>
      <w:r w:rsidR="00E44A59" w:rsidRPr="0097167A">
        <w:rPr>
          <w:sz w:val="28"/>
        </w:rPr>
        <w:t xml:space="preserve">telefoniem un </w:t>
      </w:r>
      <w:r w:rsidR="009D5B01" w:rsidRPr="0097167A">
        <w:rPr>
          <w:sz w:val="28"/>
        </w:rPr>
        <w:t xml:space="preserve">ziedojam </w:t>
      </w:r>
      <w:r w:rsidR="00E44A59" w:rsidRPr="0097167A">
        <w:rPr>
          <w:sz w:val="28"/>
        </w:rPr>
        <w:t>kādam cēlam mērķim. Tā ir rīcība saskaņā ar morāles principu – rūpēties par tiem, kam šīs rūpes ir vajadzīgas).</w:t>
      </w:r>
    </w:p>
    <w:p w:rsidR="00C4383F" w:rsidRPr="0097167A" w:rsidRDefault="001B4309" w:rsidP="00D855A4">
      <w:pPr>
        <w:pStyle w:val="ListParagraph"/>
        <w:numPr>
          <w:ilvl w:val="0"/>
          <w:numId w:val="2"/>
        </w:numPr>
        <w:rPr>
          <w:sz w:val="28"/>
        </w:rPr>
      </w:pPr>
      <w:r w:rsidRPr="0097167A">
        <w:rPr>
          <w:b/>
          <w:sz w:val="28"/>
        </w:rPr>
        <w:t>Ievērot taisnīgumu</w:t>
      </w:r>
      <w:r w:rsidR="00E44A59" w:rsidRPr="0097167A">
        <w:rPr>
          <w:sz w:val="28"/>
        </w:rPr>
        <w:t xml:space="preserve"> (cīņa par taisnīgumu, par tā ievērošanu). Mēs cenšamies atdot parādus un </w:t>
      </w:r>
      <w:r w:rsidR="009D5B01" w:rsidRPr="0097167A">
        <w:rPr>
          <w:sz w:val="28"/>
        </w:rPr>
        <w:t>sekojam tam</w:t>
      </w:r>
      <w:r w:rsidR="00E44A59" w:rsidRPr="0097167A">
        <w:rPr>
          <w:sz w:val="28"/>
        </w:rPr>
        <w:t>, lai tos atdotu mums arī.</w:t>
      </w:r>
      <w:r w:rsidR="00C4383F" w:rsidRPr="0097167A">
        <w:rPr>
          <w:sz w:val="28"/>
        </w:rPr>
        <w:t xml:space="preserve"> Plašākā nozīmē, šis motīvs ne vienmēr ir pozitīvs, jo tas ir atkarīgs no katra personiskās taisnīguma izpratnes. Kā piemēru var minēt situāciju, kad šis motīvs var novest pie ekstrēmākām darbībām, kad savas taisnības izpratnes dēļ cilvēki dodas karot uz svešām valstīm, pat ja viņiem nav nekādas personīgas iesaistes</w:t>
      </w:r>
      <w:r w:rsidR="00D855A4" w:rsidRPr="0097167A">
        <w:rPr>
          <w:sz w:val="28"/>
        </w:rPr>
        <w:t xml:space="preserve"> (</w:t>
      </w:r>
      <w:r w:rsidR="00C4383F" w:rsidRPr="0097167A">
        <w:rPr>
          <w:sz w:val="28"/>
        </w:rPr>
        <w:t>nedz draugu vai radinieku vai īpašumu</w:t>
      </w:r>
      <w:r w:rsidR="00D855A4" w:rsidRPr="0097167A">
        <w:rPr>
          <w:sz w:val="28"/>
        </w:rPr>
        <w:t xml:space="preserve">). Cilvēki vienkārši brauc cīnīties par </w:t>
      </w:r>
      <w:r w:rsidR="00C4383F" w:rsidRPr="0097167A">
        <w:rPr>
          <w:sz w:val="28"/>
        </w:rPr>
        <w:t>vienas vai otras puses taisnīguma ideāl</w:t>
      </w:r>
      <w:r w:rsidR="00D855A4" w:rsidRPr="0097167A">
        <w:rPr>
          <w:sz w:val="28"/>
        </w:rPr>
        <w:t>iem</w:t>
      </w:r>
      <w:r w:rsidR="00C4383F" w:rsidRPr="0097167A">
        <w:rPr>
          <w:sz w:val="28"/>
        </w:rPr>
        <w:t>. Bet ideālus, kā mēs zinām, mediji prot pasniegt kādā rakursā vien vēlas.</w:t>
      </w:r>
      <w:r w:rsidR="00D855A4" w:rsidRPr="0097167A">
        <w:rPr>
          <w:sz w:val="28"/>
        </w:rPr>
        <w:t xml:space="preserve"> Šī motīva vadīti cilvēki ir spējīgi pat ziedot dzīvību, vai kā minimums, vismaz doties ielā, ja viņiem šķiet, ka, piemēram, pensiju vai algu sistēma (piem. Francija) ir netaisnīga, pat tad, ja tā tiešā veidā pašu neskar un minētā pilsoņa finansiālā situācija ir gana laba. Iet tātad runa par pašu sistēmu, kura neatbilst kaut kādiem taisnīguma principiem un pilsoņu mēģinājumu viņu mainīt.</w:t>
      </w:r>
    </w:p>
    <w:p w:rsidR="00D855A4" w:rsidRPr="0097167A" w:rsidRDefault="00D855A4" w:rsidP="00D855A4">
      <w:pPr>
        <w:pStyle w:val="ListParagraph"/>
        <w:rPr>
          <w:sz w:val="28"/>
        </w:rPr>
      </w:pPr>
    </w:p>
    <w:p w:rsidR="00D855A4" w:rsidRPr="0097167A" w:rsidRDefault="00D855A4" w:rsidP="00E56861">
      <w:pPr>
        <w:pStyle w:val="ListParagraph"/>
        <w:tabs>
          <w:tab w:val="right" w:pos="8306"/>
        </w:tabs>
        <w:rPr>
          <w:b/>
          <w:sz w:val="28"/>
        </w:rPr>
      </w:pPr>
      <w:r w:rsidRPr="0097167A">
        <w:rPr>
          <w:b/>
          <w:sz w:val="28"/>
        </w:rPr>
        <w:t>Par nākamajiem motīviem mēs aizdomājamies salīdzinoši retāk.</w:t>
      </w:r>
    </w:p>
    <w:p w:rsidR="00D855A4" w:rsidRPr="0097167A" w:rsidRDefault="00D855A4" w:rsidP="00D855A4">
      <w:pPr>
        <w:pStyle w:val="ListParagraph"/>
        <w:rPr>
          <w:sz w:val="28"/>
        </w:rPr>
      </w:pPr>
    </w:p>
    <w:p w:rsidR="001B4309" w:rsidRPr="0097167A" w:rsidRDefault="001B4309" w:rsidP="001B4309">
      <w:pPr>
        <w:pStyle w:val="ListParagraph"/>
        <w:numPr>
          <w:ilvl w:val="0"/>
          <w:numId w:val="2"/>
        </w:numPr>
        <w:rPr>
          <w:sz w:val="28"/>
        </w:rPr>
      </w:pPr>
      <w:r w:rsidRPr="0097167A">
        <w:rPr>
          <w:b/>
          <w:sz w:val="28"/>
        </w:rPr>
        <w:t>Būt lojālam un neciest nodevību</w:t>
      </w:r>
      <w:r w:rsidR="00D855A4" w:rsidRPr="0097167A">
        <w:rPr>
          <w:sz w:val="28"/>
        </w:rPr>
        <w:t xml:space="preserve">. Šis motīvs motivēja, piemēram, R.Blaumaņa Tālavas taurētāju pūst cik spēka un modināt virsaiti pilī, nevis kāpt zemē un atdot tauri. Tā ir gatavība ciest neērtības vai kaut kādu paša </w:t>
      </w:r>
      <w:r w:rsidR="00E56861" w:rsidRPr="0097167A">
        <w:rPr>
          <w:sz w:val="28"/>
        </w:rPr>
        <w:t xml:space="preserve">personiskās situācijas vai </w:t>
      </w:r>
      <w:r w:rsidR="00D855A4" w:rsidRPr="0097167A">
        <w:rPr>
          <w:sz w:val="28"/>
        </w:rPr>
        <w:t>stāvokļa pasliktināšanos tikai tamdēļ, lai būtu labi manai grupai pie kuras es sevi uzskatu par piederīgu. Tā grupa var būt etniskā, ģimene, reliģiskā kopiena vai kaut vai darba kolektīvs.</w:t>
      </w:r>
    </w:p>
    <w:p w:rsidR="00E56861" w:rsidRPr="0097167A" w:rsidRDefault="00D855A4" w:rsidP="00E56861">
      <w:pPr>
        <w:pStyle w:val="ListParagraph"/>
        <w:numPr>
          <w:ilvl w:val="0"/>
          <w:numId w:val="2"/>
        </w:numPr>
        <w:rPr>
          <w:sz w:val="28"/>
        </w:rPr>
      </w:pPr>
      <w:r w:rsidRPr="0097167A">
        <w:rPr>
          <w:b/>
          <w:sz w:val="28"/>
        </w:rPr>
        <w:t xml:space="preserve">Cieņa pret </w:t>
      </w:r>
      <w:r w:rsidR="001B4309" w:rsidRPr="0097167A">
        <w:rPr>
          <w:b/>
          <w:sz w:val="28"/>
        </w:rPr>
        <w:t>autoritāti</w:t>
      </w:r>
      <w:r w:rsidRPr="0097167A">
        <w:rPr>
          <w:sz w:val="28"/>
        </w:rPr>
        <w:t xml:space="preserve">. </w:t>
      </w:r>
      <w:r w:rsidR="00E56861" w:rsidRPr="0097167A">
        <w:rPr>
          <w:sz w:val="28"/>
        </w:rPr>
        <w:t xml:space="preserve">Pirmajā brīdī tas liekas kā motīvs, kas varbūt kavē pasākt kaut kādas aktivitātes, piemēram iesaistīties protestos, bet tā vietā liek mums kārtīgi maksāt visus nodokļus vai arī braucot ievērot ceļu satiksmes noteikumus. Taču paskatoties nedaudz plašāk, ar cieņu pret autoritāti mēs ikdienā saprotam ne tikai konkrētus cilvēkus (vecākus, priekšniecību, valsts vadību), bet gan arī sabiedrisko kārtību un to </w:t>
      </w:r>
      <w:r w:rsidR="00E56861" w:rsidRPr="0097167A">
        <w:rPr>
          <w:sz w:val="28"/>
        </w:rPr>
        <w:lastRenderedPageBreak/>
        <w:t>kāda tā ir izveidojusies ilgu gadu gaitā. Tās ir tradicionālās vērtības, kas ir iesakņojušās sabiedrībā. Piemēram, ja mēs padzirdam, ka ir iznākusi grāmata, kas Kārļus grib pataisīt par Karolīnām un tādā veidā šķobīt tradicionālos sabiedrības pamatus, tad mēs esam gatavi celties un iet runāt ar Labklājības ministru un rakstīt vēstules paužot neapmierinātību ar pierastās vērtību sistēmas graušanu.</w:t>
      </w:r>
    </w:p>
    <w:p w:rsidR="001B4309" w:rsidRPr="0097167A" w:rsidRDefault="001B4309" w:rsidP="001B4309">
      <w:pPr>
        <w:pStyle w:val="ListParagraph"/>
        <w:numPr>
          <w:ilvl w:val="0"/>
          <w:numId w:val="2"/>
        </w:numPr>
        <w:rPr>
          <w:sz w:val="28"/>
        </w:rPr>
      </w:pPr>
      <w:r w:rsidRPr="0097167A">
        <w:rPr>
          <w:b/>
          <w:sz w:val="28"/>
        </w:rPr>
        <w:t>Būt tīram un nepiesārņot sevi</w:t>
      </w:r>
      <w:r w:rsidRPr="0097167A">
        <w:rPr>
          <w:sz w:val="28"/>
        </w:rPr>
        <w:t>.</w:t>
      </w:r>
      <w:r w:rsidR="00E56861" w:rsidRPr="0097167A">
        <w:rPr>
          <w:sz w:val="28"/>
        </w:rPr>
        <w:t xml:space="preserve"> Tas ir </w:t>
      </w:r>
      <w:r w:rsidR="00E56861" w:rsidRPr="0097167A">
        <w:rPr>
          <w:b/>
          <w:sz w:val="28"/>
        </w:rPr>
        <w:t>grūtāk pamanāms</w:t>
      </w:r>
      <w:r w:rsidR="00E56861" w:rsidRPr="0097167A">
        <w:rPr>
          <w:sz w:val="28"/>
        </w:rPr>
        <w:t xml:space="preserve"> motīvs</w:t>
      </w:r>
      <w:r w:rsidR="003E26DA" w:rsidRPr="0097167A">
        <w:rPr>
          <w:sz w:val="28"/>
        </w:rPr>
        <w:t xml:space="preserve">. Tīrākajā veidā motīvs ir novērojams </w:t>
      </w:r>
      <w:r w:rsidR="003E26DA" w:rsidRPr="0097167A">
        <w:rPr>
          <w:b/>
          <w:sz w:val="28"/>
        </w:rPr>
        <w:t>cilvēku vēlmē iesaistīties dažādās reliģiskās</w:t>
      </w:r>
      <w:r w:rsidR="003E26DA" w:rsidRPr="0097167A">
        <w:rPr>
          <w:sz w:val="28"/>
        </w:rPr>
        <w:t xml:space="preserve"> kustībās, garīgās praksēs, vai jogās, fen-šui vai tml. Tāpat tas arī </w:t>
      </w:r>
      <w:r w:rsidR="003E26DA" w:rsidRPr="0097167A">
        <w:rPr>
          <w:b/>
          <w:sz w:val="28"/>
        </w:rPr>
        <w:t>izpaužas rūpēs ne tikai par savu, bet arī par citu tīrību</w:t>
      </w:r>
      <w:r w:rsidR="003E26DA" w:rsidRPr="0097167A">
        <w:rPr>
          <w:sz w:val="28"/>
        </w:rPr>
        <w:t xml:space="preserve"> – piemēram sabiedriskās patruļas pret spaisa tirgošanu, kuru mērķis bija padarīt tīrāku visu sabiedrību vai vismaz tās neaizsargātāko daļu – bērnus un jauniešus.</w:t>
      </w:r>
    </w:p>
    <w:p w:rsidR="00D324D7" w:rsidRPr="0097167A" w:rsidRDefault="003E26DA">
      <w:pPr>
        <w:rPr>
          <w:sz w:val="28"/>
        </w:rPr>
      </w:pPr>
      <w:r w:rsidRPr="0097167A">
        <w:rPr>
          <w:sz w:val="28"/>
        </w:rPr>
        <w:t>Šie 5 motīvi nekādā veidā nespēj izskaidrot visas aktivitātes un pilsoniskās līdzdalības formas, bet lielu daļu aktivitāšu šie motīvi tomēr skaidro.</w:t>
      </w:r>
    </w:p>
    <w:p w:rsidR="003E26DA" w:rsidRPr="0097167A" w:rsidRDefault="003E26DA">
      <w:pPr>
        <w:rPr>
          <w:sz w:val="28"/>
        </w:rPr>
      </w:pPr>
      <w:r w:rsidRPr="0097167A">
        <w:rPr>
          <w:sz w:val="28"/>
        </w:rPr>
        <w:t xml:space="preserve">Vēl no politiskās psiholoģijas teorijas var </w:t>
      </w:r>
      <w:r w:rsidR="007671C4">
        <w:rPr>
          <w:sz w:val="28"/>
        </w:rPr>
        <w:t>secināt</w:t>
      </w:r>
      <w:r w:rsidRPr="0097167A">
        <w:rPr>
          <w:sz w:val="28"/>
        </w:rPr>
        <w:t>, ka šie 5 motīvi mums palīdz arī iedalīt cilvēkus konservatīvajos un liberāli orientētajos. No šiem 5 motīviem</w:t>
      </w:r>
      <w:r w:rsidR="007671C4">
        <w:rPr>
          <w:sz w:val="28"/>
        </w:rPr>
        <w:t>:</w:t>
      </w:r>
    </w:p>
    <w:p w:rsidR="003E26DA" w:rsidRPr="0097167A" w:rsidRDefault="003E26DA" w:rsidP="003E26DA">
      <w:pPr>
        <w:pStyle w:val="ListParagraph"/>
        <w:numPr>
          <w:ilvl w:val="0"/>
          <w:numId w:val="3"/>
        </w:numPr>
        <w:rPr>
          <w:sz w:val="28"/>
        </w:rPr>
      </w:pPr>
      <w:r w:rsidRPr="0097167A">
        <w:rPr>
          <w:sz w:val="28"/>
        </w:rPr>
        <w:t>Rūpēties par citiem un izvairītie</w:t>
      </w:r>
      <w:r w:rsidR="007671C4">
        <w:rPr>
          <w:sz w:val="28"/>
        </w:rPr>
        <w:t>s no ciešanu nodarīšanas citiem;</w:t>
      </w:r>
    </w:p>
    <w:p w:rsidR="003E26DA" w:rsidRPr="0097167A" w:rsidRDefault="007671C4" w:rsidP="003E26DA">
      <w:pPr>
        <w:pStyle w:val="ListParagraph"/>
        <w:numPr>
          <w:ilvl w:val="0"/>
          <w:numId w:val="3"/>
        </w:numPr>
        <w:rPr>
          <w:sz w:val="28"/>
        </w:rPr>
      </w:pPr>
      <w:r>
        <w:rPr>
          <w:sz w:val="28"/>
        </w:rPr>
        <w:t>Ievērot taisnīgumu;</w:t>
      </w:r>
    </w:p>
    <w:p w:rsidR="003E26DA" w:rsidRPr="0097167A" w:rsidRDefault="003E26DA" w:rsidP="003E26DA">
      <w:pPr>
        <w:pStyle w:val="ListParagraph"/>
        <w:numPr>
          <w:ilvl w:val="0"/>
          <w:numId w:val="3"/>
        </w:numPr>
        <w:rPr>
          <w:sz w:val="28"/>
        </w:rPr>
      </w:pPr>
      <w:r w:rsidRPr="0097167A">
        <w:rPr>
          <w:sz w:val="28"/>
        </w:rPr>
        <w:t>Būt lojālam un neciest nodevību</w:t>
      </w:r>
      <w:r w:rsidR="007671C4">
        <w:rPr>
          <w:sz w:val="28"/>
        </w:rPr>
        <w:t>;</w:t>
      </w:r>
    </w:p>
    <w:p w:rsidR="003E26DA" w:rsidRPr="0097167A" w:rsidRDefault="003E26DA" w:rsidP="003E26DA">
      <w:pPr>
        <w:pStyle w:val="ListParagraph"/>
        <w:numPr>
          <w:ilvl w:val="0"/>
          <w:numId w:val="3"/>
        </w:numPr>
        <w:rPr>
          <w:sz w:val="28"/>
        </w:rPr>
      </w:pPr>
      <w:r w:rsidRPr="0097167A">
        <w:rPr>
          <w:sz w:val="28"/>
        </w:rPr>
        <w:t>Cieņa pret autoritāti</w:t>
      </w:r>
      <w:r w:rsidR="007671C4">
        <w:rPr>
          <w:sz w:val="28"/>
        </w:rPr>
        <w:t>;</w:t>
      </w:r>
    </w:p>
    <w:p w:rsidR="003E26DA" w:rsidRPr="0097167A" w:rsidRDefault="003E26DA" w:rsidP="003E26DA">
      <w:pPr>
        <w:pStyle w:val="ListParagraph"/>
        <w:numPr>
          <w:ilvl w:val="0"/>
          <w:numId w:val="3"/>
        </w:numPr>
        <w:rPr>
          <w:sz w:val="28"/>
        </w:rPr>
      </w:pPr>
      <w:r w:rsidRPr="0097167A">
        <w:rPr>
          <w:sz w:val="28"/>
        </w:rPr>
        <w:t>Būt tīram un nepiesārņot sevi</w:t>
      </w:r>
      <w:r w:rsidR="007671C4">
        <w:rPr>
          <w:sz w:val="28"/>
        </w:rPr>
        <w:t>.</w:t>
      </w:r>
    </w:p>
    <w:p w:rsidR="00D760D9" w:rsidRPr="0097167A" w:rsidRDefault="00D760D9" w:rsidP="00D760D9">
      <w:pPr>
        <w:pStyle w:val="ListParagraph"/>
        <w:rPr>
          <w:sz w:val="28"/>
        </w:rPr>
      </w:pPr>
    </w:p>
    <w:p w:rsidR="00D760D9" w:rsidRPr="0097167A" w:rsidRDefault="003E26DA" w:rsidP="00D760D9">
      <w:pPr>
        <w:pStyle w:val="ListParagraph"/>
        <w:numPr>
          <w:ilvl w:val="0"/>
          <w:numId w:val="7"/>
        </w:numPr>
        <w:rPr>
          <w:sz w:val="28"/>
        </w:rPr>
      </w:pPr>
      <w:r w:rsidRPr="0097167A">
        <w:rPr>
          <w:sz w:val="28"/>
        </w:rPr>
        <w:t>konservatīvajiem svarīgi ir visi 5, savukārt</w:t>
      </w:r>
    </w:p>
    <w:p w:rsidR="003E26DA" w:rsidRPr="0097167A" w:rsidRDefault="003E26DA" w:rsidP="00D760D9">
      <w:pPr>
        <w:pStyle w:val="ListParagraph"/>
        <w:numPr>
          <w:ilvl w:val="0"/>
          <w:numId w:val="7"/>
        </w:numPr>
        <w:rPr>
          <w:sz w:val="28"/>
        </w:rPr>
      </w:pPr>
      <w:r w:rsidRPr="0097167A">
        <w:rPr>
          <w:sz w:val="28"/>
        </w:rPr>
        <w:t>liberāļiem svarīgi ir tikai pirmie 2 un nesvarīgi ir pārējie trīs.</w:t>
      </w:r>
    </w:p>
    <w:p w:rsidR="007671C4" w:rsidRPr="007671C4" w:rsidRDefault="007671C4" w:rsidP="007671C4">
      <w:pPr>
        <w:jc w:val="both"/>
        <w:rPr>
          <w:b/>
          <w:sz w:val="28"/>
          <w:u w:val="single"/>
        </w:rPr>
      </w:pPr>
      <w:r w:rsidRPr="007671C4">
        <w:rPr>
          <w:b/>
          <w:sz w:val="28"/>
          <w:u w:val="single"/>
        </w:rPr>
        <w:t>Secinājumi.</w:t>
      </w:r>
    </w:p>
    <w:p w:rsidR="00D760D9" w:rsidRPr="0097167A" w:rsidRDefault="00D760D9" w:rsidP="007671C4">
      <w:pPr>
        <w:jc w:val="both"/>
        <w:rPr>
          <w:sz w:val="28"/>
        </w:rPr>
      </w:pPr>
      <w:r w:rsidRPr="007671C4">
        <w:rPr>
          <w:b/>
          <w:sz w:val="28"/>
        </w:rPr>
        <w:t>Kolektīvās r</w:t>
      </w:r>
      <w:bookmarkStart w:id="0" w:name="_GoBack"/>
      <w:bookmarkEnd w:id="0"/>
      <w:r w:rsidRPr="007671C4">
        <w:rPr>
          <w:b/>
          <w:sz w:val="28"/>
        </w:rPr>
        <w:t>īcības problēma. No egoistiskā indivīda viedokļa</w:t>
      </w:r>
      <w:r w:rsidRPr="0097167A">
        <w:rPr>
          <w:sz w:val="28"/>
        </w:rPr>
        <w:t xml:space="preserve"> un neracionāli balsot, piedalīties demonstrācijās, līdzdarboties organizācijās, ziedot labdarībai, jo </w:t>
      </w:r>
    </w:p>
    <w:p w:rsidR="00D760D9" w:rsidRPr="0097167A" w:rsidRDefault="00D760D9" w:rsidP="00D760D9">
      <w:pPr>
        <w:pStyle w:val="ListParagraph"/>
        <w:numPr>
          <w:ilvl w:val="0"/>
          <w:numId w:val="6"/>
        </w:numPr>
        <w:rPr>
          <w:sz w:val="28"/>
        </w:rPr>
      </w:pPr>
      <w:r w:rsidRPr="0097167A">
        <w:rPr>
          <w:sz w:val="28"/>
        </w:rPr>
        <w:t>Līdzdalība prasa ieguldīta laiku un līdzekļus, turpretī viena indivīda spēja ko mainīt liekas neliela un nebūtiska.</w:t>
      </w:r>
    </w:p>
    <w:p w:rsidR="00D760D9" w:rsidRPr="0097167A" w:rsidRDefault="00D760D9" w:rsidP="00D760D9">
      <w:pPr>
        <w:pStyle w:val="ListParagraph"/>
        <w:numPr>
          <w:ilvl w:val="0"/>
          <w:numId w:val="6"/>
        </w:numPr>
        <w:rPr>
          <w:sz w:val="28"/>
        </w:rPr>
      </w:pPr>
      <w:r w:rsidRPr="0097167A">
        <w:rPr>
          <w:sz w:val="28"/>
        </w:rPr>
        <w:t>Aktīvisti paši gūst tikai nelielu daļu no labuma, ko viņi rada (rodas vēlme pēc free-ride – t.i. izbraukt uz to, ka kāds jau to dara).</w:t>
      </w:r>
      <w:r w:rsidR="005D0EF9" w:rsidRPr="0097167A">
        <w:rPr>
          <w:sz w:val="28"/>
        </w:rPr>
        <w:t>āti neuzklausa, viņi</w:t>
      </w:r>
    </w:p>
    <w:p w:rsidR="005D0EF9" w:rsidRPr="0097167A" w:rsidRDefault="005D0EF9" w:rsidP="00D760D9">
      <w:pPr>
        <w:pStyle w:val="ListParagraph"/>
        <w:numPr>
          <w:ilvl w:val="0"/>
          <w:numId w:val="6"/>
        </w:numPr>
        <w:rPr>
          <w:sz w:val="28"/>
        </w:rPr>
      </w:pPr>
      <w:r w:rsidRPr="0097167A">
        <w:rPr>
          <w:sz w:val="28"/>
        </w:rPr>
        <w:t>Latvijā ir ļoti vāja ticība savai spējai kaut ko ietekmēt.</w:t>
      </w:r>
    </w:p>
    <w:p w:rsidR="005D0EF9" w:rsidRPr="0097167A" w:rsidRDefault="005D0EF9" w:rsidP="00D760D9">
      <w:pPr>
        <w:pStyle w:val="ListParagraph"/>
        <w:numPr>
          <w:ilvl w:val="0"/>
          <w:numId w:val="6"/>
        </w:numPr>
        <w:rPr>
          <w:sz w:val="28"/>
        </w:rPr>
      </w:pPr>
      <w:r w:rsidRPr="0097167A">
        <w:rPr>
          <w:sz w:val="28"/>
        </w:rPr>
        <w:t xml:space="preserve">Iemācītās bezpalīdzības problēma – ja cilvēks iesaistās, bet viņus regulāri neuzklausa, viņi zaudē ticību saviem spēkiem un spējām un tādā veidā var teikt, ka viņi iemācās kļūt bezpalīdzīgi. Cilvēkiem vienkārši paliek žēl sava laika un naudas. </w:t>
      </w:r>
    </w:p>
    <w:p w:rsidR="005D0EF9" w:rsidRPr="0097167A" w:rsidRDefault="005D0EF9" w:rsidP="00D760D9">
      <w:pPr>
        <w:pStyle w:val="ListParagraph"/>
        <w:numPr>
          <w:ilvl w:val="0"/>
          <w:numId w:val="6"/>
        </w:numPr>
        <w:rPr>
          <w:sz w:val="28"/>
        </w:rPr>
      </w:pPr>
      <w:r w:rsidRPr="0097167A">
        <w:rPr>
          <w:sz w:val="28"/>
        </w:rPr>
        <w:t>Likumu un noteikumu neparedzamība un situācijas nestabilitāte – nav jēgas protestēt, jo situācija mainās tik bieži, ka tam nav īsti nekādas jēgas.</w:t>
      </w:r>
    </w:p>
    <w:p w:rsidR="005D0EF9" w:rsidRPr="0097167A" w:rsidRDefault="005D0EF9" w:rsidP="00D760D9">
      <w:pPr>
        <w:pStyle w:val="ListParagraph"/>
        <w:numPr>
          <w:ilvl w:val="0"/>
          <w:numId w:val="6"/>
        </w:numPr>
        <w:rPr>
          <w:sz w:val="28"/>
        </w:rPr>
      </w:pPr>
      <w:r w:rsidRPr="0097167A">
        <w:rPr>
          <w:sz w:val="28"/>
        </w:rPr>
        <w:t xml:space="preserve">Politiskā </w:t>
      </w:r>
      <w:r w:rsidR="00120017" w:rsidRPr="0097167A">
        <w:rPr>
          <w:sz w:val="28"/>
        </w:rPr>
        <w:t>socializācija</w:t>
      </w:r>
      <w:r w:rsidRPr="0097167A">
        <w:rPr>
          <w:sz w:val="28"/>
        </w:rPr>
        <w:t xml:space="preserve"> – padomju </w:t>
      </w:r>
      <w:r w:rsidR="00120017" w:rsidRPr="0097167A">
        <w:rPr>
          <w:sz w:val="28"/>
        </w:rPr>
        <w:t>laikā iemācītā tēze, ka ir jāsēž</w:t>
      </w:r>
      <w:r w:rsidRPr="0097167A">
        <w:rPr>
          <w:sz w:val="28"/>
        </w:rPr>
        <w:t xml:space="preserve"> klusu un nav jēgas neko darīt. </w:t>
      </w:r>
      <w:r w:rsidR="00120017" w:rsidRPr="0097167A">
        <w:rPr>
          <w:sz w:val="28"/>
        </w:rPr>
        <w:t>Labāk paciesties, jo politiskā vara izdarīs visu tavā vietā.</w:t>
      </w:r>
    </w:p>
    <w:p w:rsidR="005D0EF9" w:rsidRPr="0097167A" w:rsidRDefault="00120017" w:rsidP="00D760D9">
      <w:pPr>
        <w:pStyle w:val="ListParagraph"/>
        <w:numPr>
          <w:ilvl w:val="0"/>
          <w:numId w:val="6"/>
        </w:numPr>
        <w:rPr>
          <w:sz w:val="28"/>
        </w:rPr>
      </w:pPr>
      <w:r w:rsidRPr="0097167A">
        <w:rPr>
          <w:sz w:val="28"/>
        </w:rPr>
        <w:lastRenderedPageBreak/>
        <w:t>Laika un resursu trūkums. Vidusšķira. Bailes no represijām ir raksturīgas</w:t>
      </w:r>
      <w:r w:rsidR="007671C4">
        <w:rPr>
          <w:sz w:val="28"/>
        </w:rPr>
        <w:t>.</w:t>
      </w:r>
    </w:p>
    <w:p w:rsidR="00120017" w:rsidRDefault="00120017" w:rsidP="00D760D9">
      <w:pPr>
        <w:pStyle w:val="ListParagraph"/>
        <w:numPr>
          <w:ilvl w:val="0"/>
          <w:numId w:val="6"/>
        </w:numPr>
        <w:rPr>
          <w:sz w:val="28"/>
        </w:rPr>
      </w:pPr>
      <w:r w:rsidRPr="0097167A">
        <w:rPr>
          <w:sz w:val="28"/>
        </w:rPr>
        <w:t>Informācijas trū</w:t>
      </w:r>
      <w:r w:rsidR="007671C4">
        <w:rPr>
          <w:sz w:val="28"/>
        </w:rPr>
        <w:t>kums par iespējām iesaistīties.</w:t>
      </w:r>
    </w:p>
    <w:p w:rsidR="007671C4" w:rsidRDefault="007671C4" w:rsidP="007671C4">
      <w:pPr>
        <w:rPr>
          <w:sz w:val="28"/>
        </w:rPr>
      </w:pPr>
    </w:p>
    <w:p w:rsidR="007671C4" w:rsidRPr="007671C4" w:rsidRDefault="007671C4" w:rsidP="007671C4">
      <w:pPr>
        <w:rPr>
          <w:sz w:val="28"/>
        </w:rPr>
      </w:pPr>
    </w:p>
    <w:p w:rsidR="005D0EF9" w:rsidRPr="007671C4" w:rsidRDefault="007671C4" w:rsidP="005D0EF9">
      <w:pPr>
        <w:rPr>
          <w:b/>
          <w:sz w:val="28"/>
        </w:rPr>
      </w:pPr>
      <w:r w:rsidRPr="007671C4">
        <w:rPr>
          <w:b/>
          <w:sz w:val="28"/>
        </w:rPr>
        <w:t>Pielikumi.</w:t>
      </w:r>
    </w:p>
    <w:p w:rsidR="007671C4" w:rsidRDefault="007671C4" w:rsidP="007671C4">
      <w:pPr>
        <w:jc w:val="center"/>
      </w:pPr>
      <w:r>
        <w:rPr>
          <w:noProof/>
          <w:lang w:eastAsia="lv-LV"/>
        </w:rPr>
        <w:drawing>
          <wp:inline distT="0" distB="0" distL="0" distR="0">
            <wp:extent cx="5495290" cy="400240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671C4" w:rsidRDefault="007671C4" w:rsidP="007671C4"/>
    <w:p w:rsidR="007671C4" w:rsidRDefault="007671C4" w:rsidP="007671C4">
      <w:pPr>
        <w:jc w:val="center"/>
        <w:rPr>
          <w:b/>
          <w:sz w:val="30"/>
        </w:rPr>
      </w:pPr>
      <w:r>
        <w:rPr>
          <w:b/>
          <w:sz w:val="30"/>
        </w:rPr>
        <w:t>Dalība pilsoniskajās iniciatīvās (2008, Eurostat)</w:t>
      </w:r>
    </w:p>
    <w:tbl>
      <w:tblPr>
        <w:tblStyle w:val="TableGrid"/>
        <w:tblW w:w="0" w:type="auto"/>
        <w:tblLook w:val="04A0" w:firstRow="1" w:lastRow="0" w:firstColumn="1" w:lastColumn="0" w:noHBand="0" w:noVBand="1"/>
      </w:tblPr>
      <w:tblGrid>
        <w:gridCol w:w="3403"/>
        <w:gridCol w:w="1857"/>
        <w:gridCol w:w="1793"/>
        <w:gridCol w:w="1814"/>
        <w:gridCol w:w="1815"/>
      </w:tblGrid>
      <w:tr w:rsidR="007671C4" w:rsidTr="007671C4">
        <w:tc>
          <w:tcPr>
            <w:tcW w:w="4219" w:type="dxa"/>
            <w:tcBorders>
              <w:top w:val="single" w:sz="4" w:space="0" w:color="auto"/>
              <w:left w:val="single" w:sz="4" w:space="0" w:color="auto"/>
              <w:bottom w:val="single" w:sz="4" w:space="0" w:color="auto"/>
              <w:right w:val="single" w:sz="4" w:space="0" w:color="auto"/>
            </w:tcBorders>
          </w:tcPr>
          <w:p w:rsidR="007671C4" w:rsidRDefault="007671C4">
            <w:pPr>
              <w:jc w:val="center"/>
              <w:rPr>
                <w:b/>
                <w:i/>
                <w:sz w:val="28"/>
              </w:rPr>
            </w:pP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b/>
                <w:i/>
                <w:sz w:val="28"/>
              </w:rPr>
            </w:pPr>
            <w:r>
              <w:rPr>
                <w:b/>
                <w:i/>
                <w:sz w:val="28"/>
              </w:rPr>
              <w:t>Igaunija</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b/>
                <w:i/>
                <w:sz w:val="28"/>
              </w:rPr>
            </w:pPr>
            <w:r>
              <w:rPr>
                <w:b/>
                <w:i/>
                <w:sz w:val="28"/>
              </w:rPr>
              <w:t>Latvija</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b/>
                <w:i/>
                <w:sz w:val="28"/>
              </w:rPr>
            </w:pPr>
            <w:r>
              <w:rPr>
                <w:b/>
                <w:i/>
                <w:sz w:val="28"/>
              </w:rPr>
              <w:t>Lietuva</w:t>
            </w:r>
          </w:p>
        </w:tc>
        <w:tc>
          <w:tcPr>
            <w:tcW w:w="2198"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b/>
                <w:i/>
                <w:sz w:val="28"/>
              </w:rPr>
            </w:pPr>
            <w:r>
              <w:rPr>
                <w:b/>
                <w:i/>
                <w:sz w:val="28"/>
              </w:rPr>
              <w:t>ES vidējais</w:t>
            </w:r>
          </w:p>
        </w:tc>
      </w:tr>
      <w:tr w:rsidR="007671C4" w:rsidTr="007671C4">
        <w:tc>
          <w:tcPr>
            <w:tcW w:w="4219" w:type="dxa"/>
            <w:tcBorders>
              <w:top w:val="single" w:sz="4" w:space="0" w:color="auto"/>
              <w:left w:val="single" w:sz="4" w:space="0" w:color="auto"/>
              <w:bottom w:val="single" w:sz="4" w:space="0" w:color="auto"/>
              <w:right w:val="single" w:sz="4" w:space="0" w:color="auto"/>
            </w:tcBorders>
            <w:hideMark/>
          </w:tcPr>
          <w:p w:rsidR="007671C4" w:rsidRDefault="007671C4">
            <w:pPr>
              <w:rPr>
                <w:b/>
                <w:i/>
                <w:sz w:val="28"/>
              </w:rPr>
            </w:pPr>
            <w:r>
              <w:rPr>
                <w:b/>
                <w:i/>
                <w:sz w:val="28"/>
              </w:rPr>
              <w:t>Arodbiedrības</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5,9</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8,1</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3,4</w:t>
            </w:r>
          </w:p>
        </w:tc>
        <w:tc>
          <w:tcPr>
            <w:tcW w:w="2198"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10,3</w:t>
            </w:r>
          </w:p>
        </w:tc>
      </w:tr>
      <w:tr w:rsidR="007671C4" w:rsidTr="007671C4">
        <w:tc>
          <w:tcPr>
            <w:tcW w:w="4219" w:type="dxa"/>
            <w:tcBorders>
              <w:top w:val="single" w:sz="4" w:space="0" w:color="auto"/>
              <w:left w:val="single" w:sz="4" w:space="0" w:color="auto"/>
              <w:bottom w:val="single" w:sz="4" w:space="0" w:color="auto"/>
              <w:right w:val="single" w:sz="4" w:space="0" w:color="auto"/>
            </w:tcBorders>
            <w:hideMark/>
          </w:tcPr>
          <w:p w:rsidR="007671C4" w:rsidRDefault="007671C4">
            <w:pPr>
              <w:rPr>
                <w:b/>
                <w:i/>
                <w:sz w:val="28"/>
              </w:rPr>
            </w:pPr>
            <w:r>
              <w:rPr>
                <w:b/>
                <w:i/>
                <w:sz w:val="28"/>
              </w:rPr>
              <w:t>Profesionālās asociācijas</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6,5</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2,6</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1,6</w:t>
            </w:r>
          </w:p>
        </w:tc>
        <w:tc>
          <w:tcPr>
            <w:tcW w:w="2198"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4,8</w:t>
            </w:r>
          </w:p>
        </w:tc>
      </w:tr>
      <w:tr w:rsidR="007671C4" w:rsidTr="007671C4">
        <w:tc>
          <w:tcPr>
            <w:tcW w:w="4219" w:type="dxa"/>
            <w:tcBorders>
              <w:top w:val="single" w:sz="4" w:space="0" w:color="auto"/>
              <w:left w:val="single" w:sz="4" w:space="0" w:color="auto"/>
              <w:bottom w:val="single" w:sz="4" w:space="0" w:color="auto"/>
              <w:right w:val="single" w:sz="4" w:space="0" w:color="auto"/>
            </w:tcBorders>
            <w:hideMark/>
          </w:tcPr>
          <w:p w:rsidR="007671C4" w:rsidRDefault="007671C4">
            <w:pPr>
              <w:rPr>
                <w:b/>
                <w:i/>
                <w:sz w:val="28"/>
              </w:rPr>
            </w:pPr>
            <w:r>
              <w:rPr>
                <w:b/>
                <w:i/>
                <w:sz w:val="28"/>
              </w:rPr>
              <w:t>Sporta un atpūtas biedrības</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16,1</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8,4</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7,5</w:t>
            </w:r>
          </w:p>
        </w:tc>
        <w:tc>
          <w:tcPr>
            <w:tcW w:w="2198"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12,6</w:t>
            </w:r>
          </w:p>
        </w:tc>
      </w:tr>
      <w:tr w:rsidR="007671C4" w:rsidTr="007671C4">
        <w:tc>
          <w:tcPr>
            <w:tcW w:w="4219" w:type="dxa"/>
            <w:tcBorders>
              <w:top w:val="single" w:sz="4" w:space="0" w:color="auto"/>
              <w:left w:val="single" w:sz="4" w:space="0" w:color="auto"/>
              <w:bottom w:val="single" w:sz="4" w:space="0" w:color="auto"/>
              <w:right w:val="single" w:sz="4" w:space="0" w:color="auto"/>
            </w:tcBorders>
            <w:hideMark/>
          </w:tcPr>
          <w:p w:rsidR="007671C4" w:rsidRDefault="007671C4">
            <w:pPr>
              <w:rPr>
                <w:b/>
                <w:i/>
                <w:sz w:val="28"/>
              </w:rPr>
            </w:pPr>
            <w:r>
              <w:rPr>
                <w:b/>
                <w:i/>
                <w:sz w:val="28"/>
              </w:rPr>
              <w:t>Kultūras aktivitātes</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12</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7,3</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3,9</w:t>
            </w:r>
          </w:p>
        </w:tc>
        <w:tc>
          <w:tcPr>
            <w:tcW w:w="2198"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8</w:t>
            </w:r>
          </w:p>
        </w:tc>
      </w:tr>
      <w:tr w:rsidR="007671C4" w:rsidTr="007671C4">
        <w:tc>
          <w:tcPr>
            <w:tcW w:w="4219" w:type="dxa"/>
            <w:tcBorders>
              <w:top w:val="single" w:sz="4" w:space="0" w:color="auto"/>
              <w:left w:val="single" w:sz="4" w:space="0" w:color="auto"/>
              <w:bottom w:val="single" w:sz="4" w:space="0" w:color="auto"/>
              <w:right w:val="single" w:sz="4" w:space="0" w:color="auto"/>
            </w:tcBorders>
            <w:hideMark/>
          </w:tcPr>
          <w:p w:rsidR="007671C4" w:rsidRDefault="007671C4">
            <w:pPr>
              <w:rPr>
                <w:b/>
                <w:i/>
                <w:sz w:val="28"/>
              </w:rPr>
            </w:pPr>
            <w:r>
              <w:rPr>
                <w:b/>
                <w:i/>
                <w:sz w:val="28"/>
              </w:rPr>
              <w:t>Reliģiskās organizācijas</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7,4</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7,2</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4,8</w:t>
            </w:r>
          </w:p>
        </w:tc>
        <w:tc>
          <w:tcPr>
            <w:tcW w:w="2198"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9,8</w:t>
            </w:r>
          </w:p>
        </w:tc>
      </w:tr>
      <w:tr w:rsidR="007671C4" w:rsidTr="007671C4">
        <w:tc>
          <w:tcPr>
            <w:tcW w:w="4219" w:type="dxa"/>
            <w:tcBorders>
              <w:top w:val="single" w:sz="4" w:space="0" w:color="auto"/>
              <w:left w:val="single" w:sz="4" w:space="0" w:color="auto"/>
              <w:bottom w:val="single" w:sz="4" w:space="0" w:color="auto"/>
              <w:right w:val="single" w:sz="4" w:space="0" w:color="auto"/>
            </w:tcBorders>
            <w:hideMark/>
          </w:tcPr>
          <w:p w:rsidR="007671C4" w:rsidRDefault="007671C4">
            <w:pPr>
              <w:rPr>
                <w:b/>
                <w:i/>
                <w:sz w:val="28"/>
              </w:rPr>
            </w:pPr>
            <w:r>
              <w:rPr>
                <w:b/>
                <w:i/>
                <w:sz w:val="28"/>
              </w:rPr>
              <w:t>Politiskās organizācijas</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3,9</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2</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4,1</w:t>
            </w:r>
          </w:p>
        </w:tc>
        <w:tc>
          <w:tcPr>
            <w:tcW w:w="2198"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4,6</w:t>
            </w:r>
          </w:p>
        </w:tc>
      </w:tr>
      <w:tr w:rsidR="007671C4" w:rsidTr="007671C4">
        <w:tc>
          <w:tcPr>
            <w:tcW w:w="4219" w:type="dxa"/>
            <w:tcBorders>
              <w:top w:val="single" w:sz="4" w:space="0" w:color="auto"/>
              <w:left w:val="single" w:sz="4" w:space="0" w:color="auto"/>
              <w:bottom w:val="single" w:sz="4" w:space="0" w:color="auto"/>
              <w:right w:val="single" w:sz="4" w:space="0" w:color="auto"/>
            </w:tcBorders>
            <w:hideMark/>
          </w:tcPr>
          <w:p w:rsidR="007671C4" w:rsidRDefault="007671C4">
            <w:pPr>
              <w:rPr>
                <w:b/>
                <w:i/>
                <w:sz w:val="28"/>
              </w:rPr>
            </w:pPr>
            <w:r>
              <w:rPr>
                <w:b/>
                <w:i/>
                <w:sz w:val="28"/>
              </w:rPr>
              <w:t>Labdarības organizācijas</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5,1</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2,3</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1,9</w:t>
            </w:r>
          </w:p>
        </w:tc>
        <w:tc>
          <w:tcPr>
            <w:tcW w:w="2198"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5</w:t>
            </w:r>
          </w:p>
        </w:tc>
      </w:tr>
      <w:tr w:rsidR="007671C4" w:rsidTr="007671C4">
        <w:tc>
          <w:tcPr>
            <w:tcW w:w="4219" w:type="dxa"/>
            <w:tcBorders>
              <w:top w:val="single" w:sz="4" w:space="0" w:color="auto"/>
              <w:left w:val="single" w:sz="4" w:space="0" w:color="auto"/>
              <w:bottom w:val="single" w:sz="4" w:space="0" w:color="auto"/>
              <w:right w:val="single" w:sz="4" w:space="0" w:color="auto"/>
            </w:tcBorders>
            <w:hideMark/>
          </w:tcPr>
          <w:p w:rsidR="007671C4" w:rsidRDefault="007671C4">
            <w:pPr>
              <w:rPr>
                <w:b/>
                <w:i/>
                <w:sz w:val="28"/>
              </w:rPr>
            </w:pPr>
            <w:r>
              <w:rPr>
                <w:b/>
                <w:i/>
                <w:sz w:val="28"/>
              </w:rPr>
              <w:t>Vietējo pašvaldību organizācijas</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3</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0,2</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3,4</w:t>
            </w:r>
          </w:p>
        </w:tc>
        <w:tc>
          <w:tcPr>
            <w:tcW w:w="2198"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2,7</w:t>
            </w:r>
          </w:p>
        </w:tc>
      </w:tr>
      <w:tr w:rsidR="007671C4" w:rsidTr="007671C4">
        <w:tc>
          <w:tcPr>
            <w:tcW w:w="4219" w:type="dxa"/>
            <w:tcBorders>
              <w:top w:val="single" w:sz="4" w:space="0" w:color="auto"/>
              <w:left w:val="single" w:sz="4" w:space="0" w:color="auto"/>
              <w:bottom w:val="single" w:sz="4" w:space="0" w:color="auto"/>
              <w:right w:val="single" w:sz="4" w:space="0" w:color="auto"/>
            </w:tcBorders>
            <w:hideMark/>
          </w:tcPr>
          <w:p w:rsidR="007671C4" w:rsidRDefault="007671C4">
            <w:pPr>
              <w:rPr>
                <w:b/>
                <w:i/>
                <w:sz w:val="28"/>
              </w:rPr>
            </w:pPr>
            <w:r>
              <w:rPr>
                <w:b/>
                <w:i/>
                <w:sz w:val="28"/>
              </w:rPr>
              <w:t>Nevienā</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b/>
                <w:sz w:val="28"/>
                <w:u w:val="single"/>
              </w:rPr>
            </w:pPr>
            <w:r>
              <w:rPr>
                <w:b/>
                <w:sz w:val="28"/>
                <w:u w:val="single"/>
              </w:rPr>
              <w:t>59,7</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b/>
                <w:sz w:val="28"/>
                <w:u w:val="single"/>
              </w:rPr>
            </w:pPr>
            <w:r>
              <w:rPr>
                <w:b/>
                <w:sz w:val="28"/>
                <w:u w:val="single"/>
              </w:rPr>
              <w:t>72,2</w:t>
            </w:r>
          </w:p>
        </w:tc>
        <w:tc>
          <w:tcPr>
            <w:tcW w:w="2197"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b/>
                <w:sz w:val="28"/>
                <w:u w:val="single"/>
              </w:rPr>
            </w:pPr>
            <w:r>
              <w:rPr>
                <w:b/>
                <w:sz w:val="28"/>
                <w:u w:val="single"/>
              </w:rPr>
              <w:t>73,7</w:t>
            </w:r>
          </w:p>
        </w:tc>
        <w:tc>
          <w:tcPr>
            <w:tcW w:w="2198" w:type="dxa"/>
            <w:tcBorders>
              <w:top w:val="single" w:sz="4" w:space="0" w:color="auto"/>
              <w:left w:val="single" w:sz="4" w:space="0" w:color="auto"/>
              <w:bottom w:val="single" w:sz="4" w:space="0" w:color="auto"/>
              <w:right w:val="single" w:sz="4" w:space="0" w:color="auto"/>
            </w:tcBorders>
            <w:hideMark/>
          </w:tcPr>
          <w:p w:rsidR="007671C4" w:rsidRDefault="007671C4">
            <w:pPr>
              <w:jc w:val="center"/>
              <w:rPr>
                <w:sz w:val="28"/>
              </w:rPr>
            </w:pPr>
            <w:r>
              <w:rPr>
                <w:sz w:val="28"/>
              </w:rPr>
              <w:t>57,3</w:t>
            </w:r>
          </w:p>
        </w:tc>
      </w:tr>
    </w:tbl>
    <w:p w:rsidR="007671C4" w:rsidRDefault="007671C4" w:rsidP="007671C4"/>
    <w:sectPr w:rsidR="007671C4" w:rsidSect="0097167A">
      <w:type w:val="nextColumn"/>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F59" w:rsidRDefault="00752F59" w:rsidP="0097167A">
      <w:pPr>
        <w:spacing w:after="0" w:line="240" w:lineRule="auto"/>
      </w:pPr>
      <w:r>
        <w:separator/>
      </w:r>
    </w:p>
  </w:endnote>
  <w:endnote w:type="continuationSeparator" w:id="0">
    <w:p w:rsidR="00752F59" w:rsidRDefault="00752F59" w:rsidP="0097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F59" w:rsidRDefault="00752F59" w:rsidP="0097167A">
      <w:pPr>
        <w:spacing w:after="0" w:line="240" w:lineRule="auto"/>
      </w:pPr>
      <w:r>
        <w:separator/>
      </w:r>
    </w:p>
  </w:footnote>
  <w:footnote w:type="continuationSeparator" w:id="0">
    <w:p w:rsidR="00752F59" w:rsidRDefault="00752F59" w:rsidP="0097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4A6"/>
    <w:multiLevelType w:val="hybridMultilevel"/>
    <w:tmpl w:val="5DCE2E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7283EC7"/>
    <w:multiLevelType w:val="hybridMultilevel"/>
    <w:tmpl w:val="37A2B2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1BE47EA"/>
    <w:multiLevelType w:val="hybridMultilevel"/>
    <w:tmpl w:val="6C789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65430BF"/>
    <w:multiLevelType w:val="hybridMultilevel"/>
    <w:tmpl w:val="97BA4CF4"/>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C076D16"/>
    <w:multiLevelType w:val="hybridMultilevel"/>
    <w:tmpl w:val="8A7AE1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5AF6825"/>
    <w:multiLevelType w:val="hybridMultilevel"/>
    <w:tmpl w:val="4FB2E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61844261"/>
    <w:multiLevelType w:val="hybridMultilevel"/>
    <w:tmpl w:val="6B68FB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6B9A36C5"/>
    <w:multiLevelType w:val="hybridMultilevel"/>
    <w:tmpl w:val="A9D4CD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96B40A9"/>
    <w:multiLevelType w:val="hybridMultilevel"/>
    <w:tmpl w:val="B7B415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6"/>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24D7"/>
    <w:rsid w:val="000158C2"/>
    <w:rsid w:val="000C3C9D"/>
    <w:rsid w:val="00120017"/>
    <w:rsid w:val="001B4309"/>
    <w:rsid w:val="001E4DCF"/>
    <w:rsid w:val="003A583F"/>
    <w:rsid w:val="003E26DA"/>
    <w:rsid w:val="005213DF"/>
    <w:rsid w:val="005D0EF9"/>
    <w:rsid w:val="005E3E53"/>
    <w:rsid w:val="00750D47"/>
    <w:rsid w:val="00752F59"/>
    <w:rsid w:val="007671C4"/>
    <w:rsid w:val="0083662B"/>
    <w:rsid w:val="0097167A"/>
    <w:rsid w:val="009D5B01"/>
    <w:rsid w:val="00A134BB"/>
    <w:rsid w:val="00B3668E"/>
    <w:rsid w:val="00C4383F"/>
    <w:rsid w:val="00CD4364"/>
    <w:rsid w:val="00D324D7"/>
    <w:rsid w:val="00D760D9"/>
    <w:rsid w:val="00D77928"/>
    <w:rsid w:val="00D855A4"/>
    <w:rsid w:val="00E44A59"/>
    <w:rsid w:val="00E56861"/>
    <w:rsid w:val="00F952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D3D39-759D-4D8D-8759-DA7D130C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4D7"/>
    <w:pPr>
      <w:ind w:left="720"/>
      <w:contextualSpacing/>
    </w:pPr>
  </w:style>
  <w:style w:type="character" w:styleId="CommentReference">
    <w:name w:val="annotation reference"/>
    <w:basedOn w:val="DefaultParagraphFont"/>
    <w:uiPriority w:val="99"/>
    <w:semiHidden/>
    <w:unhideWhenUsed/>
    <w:rsid w:val="00D324D7"/>
    <w:rPr>
      <w:sz w:val="16"/>
      <w:szCs w:val="16"/>
    </w:rPr>
  </w:style>
  <w:style w:type="paragraph" w:styleId="CommentText">
    <w:name w:val="annotation text"/>
    <w:basedOn w:val="Normal"/>
    <w:link w:val="CommentTextChar"/>
    <w:uiPriority w:val="99"/>
    <w:semiHidden/>
    <w:unhideWhenUsed/>
    <w:rsid w:val="00D324D7"/>
    <w:pPr>
      <w:spacing w:line="240" w:lineRule="auto"/>
    </w:pPr>
    <w:rPr>
      <w:sz w:val="20"/>
      <w:szCs w:val="20"/>
    </w:rPr>
  </w:style>
  <w:style w:type="character" w:customStyle="1" w:styleId="CommentTextChar">
    <w:name w:val="Comment Text Char"/>
    <w:basedOn w:val="DefaultParagraphFont"/>
    <w:link w:val="CommentText"/>
    <w:uiPriority w:val="99"/>
    <w:semiHidden/>
    <w:rsid w:val="00D324D7"/>
    <w:rPr>
      <w:sz w:val="20"/>
      <w:szCs w:val="20"/>
    </w:rPr>
  </w:style>
  <w:style w:type="paragraph" w:styleId="CommentSubject">
    <w:name w:val="annotation subject"/>
    <w:basedOn w:val="CommentText"/>
    <w:next w:val="CommentText"/>
    <w:link w:val="CommentSubjectChar"/>
    <w:uiPriority w:val="99"/>
    <w:semiHidden/>
    <w:unhideWhenUsed/>
    <w:rsid w:val="00D324D7"/>
    <w:rPr>
      <w:b/>
      <w:bCs/>
    </w:rPr>
  </w:style>
  <w:style w:type="character" w:customStyle="1" w:styleId="CommentSubjectChar">
    <w:name w:val="Comment Subject Char"/>
    <w:basedOn w:val="CommentTextChar"/>
    <w:link w:val="CommentSubject"/>
    <w:uiPriority w:val="99"/>
    <w:semiHidden/>
    <w:rsid w:val="00D324D7"/>
    <w:rPr>
      <w:b/>
      <w:bCs/>
      <w:sz w:val="20"/>
      <w:szCs w:val="20"/>
    </w:rPr>
  </w:style>
  <w:style w:type="paragraph" w:styleId="BalloonText">
    <w:name w:val="Balloon Text"/>
    <w:basedOn w:val="Normal"/>
    <w:link w:val="BalloonTextChar"/>
    <w:uiPriority w:val="99"/>
    <w:semiHidden/>
    <w:unhideWhenUsed/>
    <w:rsid w:val="00D32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4D7"/>
    <w:rPr>
      <w:rFonts w:ascii="Tahoma" w:hAnsi="Tahoma" w:cs="Tahoma"/>
      <w:sz w:val="16"/>
      <w:szCs w:val="16"/>
    </w:rPr>
  </w:style>
  <w:style w:type="table" w:styleId="TableGrid">
    <w:name w:val="Table Grid"/>
    <w:basedOn w:val="TableNormal"/>
    <w:uiPriority w:val="59"/>
    <w:rsid w:val="003E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7167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7167A"/>
  </w:style>
  <w:style w:type="paragraph" w:styleId="Footer">
    <w:name w:val="footer"/>
    <w:basedOn w:val="Normal"/>
    <w:link w:val="FooterChar"/>
    <w:uiPriority w:val="99"/>
    <w:semiHidden/>
    <w:unhideWhenUsed/>
    <w:rsid w:val="0097167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7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439467">
      <w:bodyDiv w:val="1"/>
      <w:marLeft w:val="0"/>
      <w:marRight w:val="0"/>
      <w:marTop w:val="0"/>
      <w:marBottom w:val="0"/>
      <w:divBdr>
        <w:top w:val="none" w:sz="0" w:space="0" w:color="auto"/>
        <w:left w:val="none" w:sz="0" w:space="0" w:color="auto"/>
        <w:bottom w:val="none" w:sz="0" w:space="0" w:color="auto"/>
        <w:right w:val="none" w:sz="0" w:space="0" w:color="auto"/>
      </w:divBdr>
    </w:div>
    <w:div w:id="1109206755">
      <w:bodyDiv w:val="1"/>
      <w:marLeft w:val="0"/>
      <w:marRight w:val="0"/>
      <w:marTop w:val="0"/>
      <w:marBottom w:val="0"/>
      <w:divBdr>
        <w:top w:val="none" w:sz="0" w:space="0" w:color="auto"/>
        <w:left w:val="none" w:sz="0" w:space="0" w:color="auto"/>
        <w:bottom w:val="none" w:sz="0" w:space="0" w:color="auto"/>
        <w:right w:val="none" w:sz="0" w:space="0" w:color="auto"/>
      </w:divBdr>
    </w:div>
    <w:div w:id="1396124735">
      <w:bodyDiv w:val="1"/>
      <w:marLeft w:val="0"/>
      <w:marRight w:val="0"/>
      <w:marTop w:val="0"/>
      <w:marBottom w:val="0"/>
      <w:divBdr>
        <w:top w:val="none" w:sz="0" w:space="0" w:color="auto"/>
        <w:left w:val="none" w:sz="0" w:space="0" w:color="auto"/>
        <w:bottom w:val="none" w:sz="0" w:space="0" w:color="auto"/>
        <w:right w:val="none" w:sz="0" w:space="0" w:color="auto"/>
      </w:divBdr>
    </w:div>
    <w:div w:id="1772387122">
      <w:bodyDiv w:val="1"/>
      <w:marLeft w:val="0"/>
      <w:marRight w:val="0"/>
      <w:marTop w:val="0"/>
      <w:marBottom w:val="0"/>
      <w:divBdr>
        <w:top w:val="none" w:sz="0" w:space="0" w:color="auto"/>
        <w:left w:val="none" w:sz="0" w:space="0" w:color="auto"/>
        <w:bottom w:val="none" w:sz="0" w:space="0" w:color="auto"/>
        <w:right w:val="none" w:sz="0" w:space="0" w:color="auto"/>
      </w:divBdr>
    </w:div>
    <w:div w:id="207114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Pilsoniskās līdzdalības tipi</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'[Chart in Microsoft Office Word]Sheet1'!$B$2</c:f>
              <c:strCache>
                <c:ptCount val="1"/>
                <c:pt idx="0">
                  <c:v>Procenti</c:v>
                </c:pt>
              </c:strCache>
            </c:strRef>
          </c:tx>
          <c:dLbls>
            <c:spPr>
              <a:noFill/>
              <a:ln>
                <a:noFill/>
              </a:ln>
              <a:effectLst/>
            </c:spPr>
            <c:txPr>
              <a:bodyPr/>
              <a:lstStyle/>
              <a:p>
                <a:pPr>
                  <a:defRPr sz="1800" b="1"/>
                </a:pPr>
                <a:endParaRPr lang="lv-LV"/>
              </a:p>
            </c:txPr>
            <c:showLegendKey val="0"/>
            <c:showVal val="1"/>
            <c:showCatName val="0"/>
            <c:showSerName val="0"/>
            <c:showPercent val="0"/>
            <c:showBubbleSize val="0"/>
            <c:showLeaderLines val="1"/>
            <c:extLst>
              <c:ext xmlns:c15="http://schemas.microsoft.com/office/drawing/2012/chart" uri="{CE6537A1-D6FC-4f65-9D91-7224C49458BB}"/>
            </c:extLst>
          </c:dLbls>
          <c:cat>
            <c:strRef>
              <c:f>'[Chart in Microsoft Office Word]Sheet1'!$A$3:$A$7</c:f>
              <c:strCache>
                <c:ptCount val="5"/>
                <c:pt idx="0">
                  <c:v>Multiaktīvisti</c:v>
                </c:pt>
                <c:pt idx="1">
                  <c:v>Mobilie aktīvisti</c:v>
                </c:pt>
                <c:pt idx="2">
                  <c:v>Institucionālie aktīvisti</c:v>
                </c:pt>
                <c:pt idx="3">
                  <c:v>Balsotāji</c:v>
                </c:pt>
                <c:pt idx="4">
                  <c:v>Nedara neko</c:v>
                </c:pt>
              </c:strCache>
            </c:strRef>
          </c:cat>
          <c:val>
            <c:numRef>
              <c:f>'[Chart in Microsoft Office Word]Sheet1'!$B$3:$B$7</c:f>
              <c:numCache>
                <c:formatCode>General</c:formatCode>
                <c:ptCount val="5"/>
                <c:pt idx="0">
                  <c:v>14</c:v>
                </c:pt>
                <c:pt idx="1">
                  <c:v>17</c:v>
                </c:pt>
                <c:pt idx="2">
                  <c:v>18</c:v>
                </c:pt>
                <c:pt idx="3">
                  <c:v>26</c:v>
                </c:pt>
                <c:pt idx="4">
                  <c:v>25</c:v>
                </c:pt>
              </c:numCache>
            </c:numRef>
          </c:val>
        </c:ser>
        <c:dLbls>
          <c:showLegendKey val="0"/>
          <c:showVal val="0"/>
          <c:showCatName val="0"/>
          <c:showSerName val="0"/>
          <c:showPercent val="0"/>
          <c:showBubbleSize val="0"/>
          <c:showLeaderLines val="1"/>
        </c:dLbls>
      </c:pie3DChart>
    </c:plotArea>
    <c:legend>
      <c:legendPos val="b"/>
      <c:overlay val="0"/>
      <c:txPr>
        <a:bodyPr/>
        <a:lstStyle/>
        <a:p>
          <a:pPr>
            <a:defRPr sz="1400"/>
          </a:pPr>
          <a:endParaRPr lang="lv-LV"/>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5108</Words>
  <Characters>2913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LU</Company>
  <LinksUpToDate>false</LinksUpToDate>
  <CharactersWithSpaces>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dc:creator>
  <cp:lastModifiedBy>Janis Baltins</cp:lastModifiedBy>
  <cp:revision>4</cp:revision>
  <dcterms:created xsi:type="dcterms:W3CDTF">2014-12-16T13:33:00Z</dcterms:created>
  <dcterms:modified xsi:type="dcterms:W3CDTF">2015-04-08T02:40:00Z</dcterms:modified>
</cp:coreProperties>
</file>